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宋体" w:hAnsi="宋体" w:eastAsia="仿宋_GB2312" w:cs="仿宋_GB2312"/>
          <w:color w:val="auto"/>
          <w:sz w:val="32"/>
          <w:szCs w:val="32"/>
          <w:u w:val="none"/>
          <w:lang w:val="en-US" w:eastAsia="zh-CN"/>
        </w:rPr>
      </w:pPr>
      <w:bookmarkStart w:id="0" w:name="OLE_LINK1"/>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方正小标宋简体" w:cs="方正小标宋简体"/>
          <w:color w:val="auto"/>
          <w:sz w:val="44"/>
          <w:szCs w:val="44"/>
          <w:u w:val="none"/>
          <w:lang w:val="en-US" w:eastAsia="zh-CN"/>
        </w:rPr>
      </w:pPr>
      <w:r>
        <w:rPr>
          <w:rFonts w:hint="eastAsia" w:ascii="宋体" w:hAnsi="宋体" w:eastAsia="方正小标宋简体" w:cs="方正小标宋简体"/>
          <w:color w:val="auto"/>
          <w:sz w:val="44"/>
          <w:szCs w:val="44"/>
          <w:u w:val="none"/>
          <w:lang w:val="en-US" w:eastAsia="zh-CN"/>
        </w:rPr>
        <w:t>关于支持</w:t>
      </w:r>
      <w:r>
        <w:rPr>
          <w:rFonts w:hint="eastAsia" w:ascii="宋体" w:hAnsi="宋体" w:eastAsia="方正小标宋简体" w:cs="方正小标宋简体"/>
          <w:color w:val="auto"/>
          <w:sz w:val="44"/>
          <w:szCs w:val="44"/>
          <w:u w:val="none"/>
        </w:rPr>
        <w:t>青年</w:t>
      </w:r>
      <w:r>
        <w:rPr>
          <w:rFonts w:hint="eastAsia" w:ascii="宋体" w:hAnsi="宋体" w:eastAsia="方正小标宋简体" w:cs="方正小标宋简体"/>
          <w:color w:val="auto"/>
          <w:sz w:val="44"/>
          <w:szCs w:val="44"/>
          <w:u w:val="none"/>
          <w:lang w:val="en-US" w:eastAsia="zh-CN"/>
        </w:rPr>
        <w:t>人才</w:t>
      </w:r>
      <w:r>
        <w:rPr>
          <w:rFonts w:hint="eastAsia" w:ascii="宋体" w:hAnsi="宋体" w:eastAsia="方正小标宋简体" w:cs="方正小标宋简体"/>
          <w:color w:val="auto"/>
          <w:sz w:val="44"/>
          <w:szCs w:val="44"/>
          <w:u w:val="none"/>
        </w:rPr>
        <w:t>入乡共建</w:t>
      </w:r>
      <w:r>
        <w:rPr>
          <w:rFonts w:hint="eastAsia" w:ascii="宋体" w:hAnsi="宋体" w:eastAsia="方正小标宋简体" w:cs="方正小标宋简体"/>
          <w:color w:val="auto"/>
          <w:sz w:val="44"/>
          <w:szCs w:val="44"/>
          <w:u w:val="none"/>
          <w:lang w:val="en-US" w:eastAsia="zh-CN"/>
        </w:rPr>
        <w:t>和美</w:t>
      </w:r>
      <w:r>
        <w:rPr>
          <w:rFonts w:hint="eastAsia" w:ascii="宋体" w:hAnsi="宋体" w:eastAsia="方正小标宋简体" w:cs="方正小标宋简体"/>
          <w:color w:val="auto"/>
          <w:sz w:val="44"/>
          <w:szCs w:val="44"/>
          <w:u w:val="none"/>
        </w:rPr>
        <w:t>乡村</w:t>
      </w:r>
      <w:r>
        <w:rPr>
          <w:rFonts w:hint="eastAsia" w:ascii="宋体" w:hAnsi="宋体" w:eastAsia="方正小标宋简体" w:cs="方正小标宋简体"/>
          <w:color w:val="auto"/>
          <w:sz w:val="44"/>
          <w:szCs w:val="44"/>
          <w:u w:val="none"/>
          <w:lang w:val="en-US" w:eastAsia="zh-CN"/>
        </w:rPr>
        <w:t>的</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方正小标宋简体" w:cs="方正小标宋简体"/>
          <w:color w:val="auto"/>
          <w:sz w:val="44"/>
          <w:szCs w:val="44"/>
          <w:u w:val="none"/>
          <w:lang w:val="en-US" w:eastAsia="zh-CN"/>
        </w:rPr>
      </w:pPr>
      <w:r>
        <w:rPr>
          <w:rFonts w:hint="eastAsia" w:ascii="宋体" w:hAnsi="宋体" w:eastAsia="方正小标宋简体" w:cs="方正小标宋简体"/>
          <w:color w:val="auto"/>
          <w:sz w:val="44"/>
          <w:szCs w:val="44"/>
          <w:u w:val="none"/>
          <w:lang w:val="en-US" w:eastAsia="zh-CN"/>
        </w:rPr>
        <w:t>十三条激励措施</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楷体_GB2312" w:cs="楷体_GB2312"/>
          <w:color w:val="auto"/>
          <w:sz w:val="32"/>
          <w:szCs w:val="32"/>
          <w:u w:val="none"/>
          <w:lang w:val="en-US" w:eastAsia="zh-CN"/>
        </w:rPr>
      </w:pPr>
      <w:r>
        <w:rPr>
          <w:rFonts w:hint="eastAsia" w:ascii="宋体" w:hAnsi="宋体" w:eastAsia="楷体_GB2312" w:cs="楷体_GB2312"/>
          <w:color w:val="auto"/>
          <w:sz w:val="32"/>
          <w:szCs w:val="32"/>
          <w:u w:val="none"/>
          <w:lang w:val="en-US" w:eastAsia="zh-CN"/>
        </w:rPr>
        <w:t>（征求意见稿）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仿宋_GB2312" w:cs="仿宋_GB2312"/>
          <w:color w:val="auto"/>
          <w:sz w:val="32"/>
          <w:szCs w:val="32"/>
          <w:u w:val="none"/>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仿宋_GB2312" w:cs="仿宋_GB2312"/>
          <w:color w:val="auto"/>
          <w:sz w:val="32"/>
          <w:szCs w:val="32"/>
          <w:u w:val="none"/>
        </w:rPr>
      </w:pPr>
      <w:r>
        <w:rPr>
          <w:rFonts w:hint="eastAsia" w:ascii="宋体" w:hAnsi="宋体" w:eastAsia="仿宋_GB2312" w:cs="仿宋_GB2312"/>
          <w:color w:val="auto"/>
          <w:sz w:val="32"/>
          <w:szCs w:val="32"/>
          <w:u w:val="none"/>
        </w:rPr>
        <w:t>为学深用好“千万工程”经验，</w:t>
      </w:r>
      <w:r>
        <w:rPr>
          <w:rFonts w:hint="eastAsia" w:ascii="宋体" w:hAnsi="宋体" w:eastAsia="仿宋_GB2312" w:cs="仿宋_GB2312"/>
          <w:color w:val="auto"/>
          <w:sz w:val="32"/>
          <w:szCs w:val="32"/>
          <w:u w:val="none"/>
          <w:lang w:val="en-US" w:eastAsia="zh-CN"/>
        </w:rPr>
        <w:t>深入贯彻落实乡村振兴战略，将乡村作为人才引育的重要阵地，全域推进青年人才入乡发展，着力优化青年人才创业环境和就业政策，让青年到乡村施展才华，让三明乡村因青年“火”起来，特制定如下措施</w:t>
      </w:r>
      <w:r>
        <w:rPr>
          <w:rFonts w:hint="eastAsia" w:ascii="宋体" w:hAnsi="宋体" w:eastAsia="仿宋_GB2312" w:cs="仿宋_GB2312"/>
          <w:color w:val="auto"/>
          <w:sz w:val="32"/>
          <w:szCs w:val="32"/>
          <w:u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宋体" w:hAnsi="宋体" w:eastAsia="黑体" w:cs="黑体"/>
          <w:color w:val="auto"/>
          <w:sz w:val="32"/>
          <w:szCs w:val="32"/>
          <w:u w:val="none"/>
          <w:lang w:val="en-US" w:eastAsia="zh-CN"/>
        </w:rPr>
      </w:pPr>
      <w:r>
        <w:rPr>
          <w:rFonts w:hint="eastAsia" w:ascii="宋体" w:hAnsi="宋体" w:eastAsia="黑体" w:cs="黑体"/>
          <w:color w:val="auto"/>
          <w:sz w:val="32"/>
          <w:szCs w:val="32"/>
          <w:u w:val="none"/>
        </w:rPr>
        <w:t>一、</w:t>
      </w:r>
      <w:bookmarkEnd w:id="0"/>
      <w:r>
        <w:rPr>
          <w:rFonts w:hint="eastAsia" w:ascii="宋体" w:hAnsi="宋体" w:eastAsia="黑体" w:cs="黑体"/>
          <w:color w:val="auto"/>
          <w:sz w:val="32"/>
          <w:szCs w:val="32"/>
          <w:u w:val="none"/>
          <w:lang w:val="en-US" w:eastAsia="zh-CN"/>
        </w:rPr>
        <w:t>支持青年返乡入乡创业</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宋体" w:hAnsi="宋体" w:eastAsia="楷体_GB2312" w:cs="楷体_GB2312"/>
          <w:b/>
          <w:bCs/>
          <w:color w:val="auto"/>
          <w:kern w:val="2"/>
          <w:sz w:val="32"/>
          <w:szCs w:val="32"/>
          <w:u w:val="none"/>
          <w:lang w:val="en-US" w:eastAsia="zh-CN" w:bidi="ar-SA"/>
        </w:rPr>
      </w:pPr>
      <w:r>
        <w:rPr>
          <w:rFonts w:hint="eastAsia" w:ascii="宋体" w:hAnsi="宋体" w:eastAsia="楷体_GB2312" w:cs="楷体_GB2312"/>
          <w:b/>
          <w:bCs/>
          <w:color w:val="auto"/>
          <w:kern w:val="2"/>
          <w:sz w:val="32"/>
          <w:szCs w:val="32"/>
          <w:u w:val="none"/>
          <w:lang w:val="en-US" w:eastAsia="zh-CN" w:bidi="ar-SA"/>
        </w:rPr>
        <w:t>1.鼓励青年人才参与乡村运营。</w:t>
      </w:r>
      <w:r>
        <w:rPr>
          <w:rFonts w:hint="eastAsia" w:ascii="宋体" w:hAnsi="宋体" w:eastAsia="仿宋_GB2312" w:cs="仿宋_GB2312"/>
          <w:color w:val="auto"/>
          <w:kern w:val="2"/>
          <w:sz w:val="32"/>
          <w:szCs w:val="32"/>
          <w:u w:val="none"/>
          <w:lang w:val="en-US" w:eastAsia="zh-CN" w:bidi="ar-SA"/>
        </w:rPr>
        <w:t>对高校毕业生、退役军人、返乡农民工等</w:t>
      </w:r>
      <w:r>
        <w:rPr>
          <w:rFonts w:hint="eastAsia" w:ascii="宋体" w:hAnsi="宋体" w:eastAsia="仿宋_GB2312" w:cs="仿宋_GB2312"/>
          <w:color w:val="auto"/>
          <w:kern w:val="2"/>
          <w:sz w:val="32"/>
          <w:szCs w:val="32"/>
          <w:u w:val="none"/>
          <w:lang w:val="en-US" w:eastAsia="zh-CN" w:bidi="ar-SA"/>
        </w:rPr>
        <w:t>青年群体，在三明市初次创办或领办以种植业、养殖业、休闲观光农业、农产品加工业等为主营业务的经营主体，自注册后的2年内设备购置达到30万元以上并实现正常生产运营的，对其设备资助投入部分（不含各类财政扶持补助资金）由</w:t>
      </w:r>
      <w:r>
        <w:rPr>
          <w:rFonts w:hint="eastAsia" w:ascii="宋体" w:hAnsi="宋体" w:eastAsia="仿宋_GB2312" w:cs="仿宋_GB2312"/>
          <w:color w:val="auto"/>
          <w:kern w:val="2"/>
          <w:sz w:val="32"/>
          <w:szCs w:val="32"/>
          <w:u w:val="none"/>
          <w:lang w:val="en-US" w:eastAsia="zh-CN" w:bidi="ar-SA"/>
        </w:rPr>
        <w:t>县级财政</w:t>
      </w:r>
      <w:r>
        <w:rPr>
          <w:rFonts w:hint="eastAsia" w:ascii="宋体" w:hAnsi="宋体" w:eastAsia="仿宋_GB2312" w:cs="仿宋_GB2312"/>
          <w:color w:val="auto"/>
          <w:kern w:val="2"/>
          <w:sz w:val="32"/>
          <w:szCs w:val="32"/>
          <w:u w:val="none"/>
          <w:lang w:val="en-US" w:eastAsia="zh-CN" w:bidi="ar-SA"/>
        </w:rPr>
        <w:t>给予最高50%且不超过50万元投资补助，同一经营主体2年内仅可享受一次此项补助。作为项目主理人，在省级乡村振兴示范镇、示范村及创建对象中创办农文旅融合的运营类项目，且带动村财增收、项目总投资超30万元，在项目正常运营1年后，由</w:t>
      </w:r>
      <w:r>
        <w:rPr>
          <w:rFonts w:hint="eastAsia" w:ascii="宋体" w:hAnsi="宋体" w:eastAsia="仿宋_GB2312" w:cs="仿宋_GB2312"/>
          <w:color w:val="auto"/>
          <w:kern w:val="2"/>
          <w:sz w:val="32"/>
          <w:szCs w:val="32"/>
          <w:u w:val="none"/>
          <w:lang w:val="en-US" w:eastAsia="zh-CN" w:bidi="ar-SA"/>
        </w:rPr>
        <w:t>县级财政</w:t>
      </w:r>
      <w:r>
        <w:rPr>
          <w:rFonts w:hint="eastAsia" w:ascii="宋体" w:hAnsi="宋体" w:eastAsia="仿宋_GB2312" w:cs="仿宋_GB2312"/>
          <w:color w:val="auto"/>
          <w:kern w:val="2"/>
          <w:sz w:val="32"/>
          <w:szCs w:val="32"/>
          <w:u w:val="none"/>
          <w:lang w:val="en-US" w:eastAsia="zh-CN" w:bidi="ar-SA"/>
        </w:rPr>
        <w:t>给予5-10万元一次性资金补助。</w:t>
      </w:r>
      <w:r>
        <w:rPr>
          <w:rFonts w:hint="eastAsia" w:ascii="宋体" w:hAnsi="宋体" w:eastAsia="楷体_GB2312" w:cs="楷体_GB2312"/>
          <w:color w:val="auto"/>
          <w:sz w:val="32"/>
          <w:szCs w:val="32"/>
          <w:u w:val="none"/>
          <w:lang w:val="en-US" w:eastAsia="zh-CN"/>
        </w:rPr>
        <w:t>〔责任单位：市农业农村局、财政局、文旅局，以下均需各县（市、区）党委农办落实，不再列出〕</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宋体" w:hAnsi="宋体" w:eastAsia="仿宋_GB2312" w:cs="仿宋_GB2312"/>
          <w:color w:val="auto"/>
          <w:kern w:val="2"/>
          <w:sz w:val="32"/>
          <w:szCs w:val="32"/>
          <w:u w:val="none"/>
          <w:lang w:val="en-US" w:eastAsia="zh-CN" w:bidi="ar-SA"/>
        </w:rPr>
      </w:pPr>
      <w:r>
        <w:rPr>
          <w:rFonts w:hint="eastAsia" w:ascii="宋体" w:hAnsi="宋体" w:eastAsia="楷体_GB2312" w:cs="楷体_GB2312"/>
          <w:b/>
          <w:bCs/>
          <w:color w:val="auto"/>
          <w:kern w:val="2"/>
          <w:sz w:val="32"/>
          <w:szCs w:val="32"/>
          <w:u w:val="none"/>
          <w:lang w:val="en-US" w:eastAsia="zh-CN" w:bidi="ar-SA"/>
        </w:rPr>
        <w:t>2.支持青年人才到乡村创业创新。</w:t>
      </w:r>
      <w:r>
        <w:rPr>
          <w:rFonts w:hint="eastAsia" w:ascii="宋体" w:hAnsi="宋体" w:eastAsia="仿宋_GB2312" w:cs="仿宋_GB2312"/>
          <w:color w:val="auto"/>
          <w:kern w:val="2"/>
          <w:sz w:val="32"/>
          <w:szCs w:val="32"/>
          <w:u w:val="none"/>
          <w:lang w:val="en-US" w:eastAsia="zh-CN" w:bidi="ar-SA"/>
        </w:rPr>
        <w:t>开展“带富先锋”培育行动，以县（市、区）为单位，统筹创业扶持经费等政策资金，设立“产业扶持资金”，支持和鼓励村干部及“新知青”、“新农人”</w:t>
      </w:r>
      <w:r>
        <w:rPr>
          <w:rFonts w:hint="default" w:ascii="宋体" w:hAnsi="宋体" w:eastAsia="仿宋_GB2312" w:cs="仿宋_GB2312"/>
          <w:color w:val="auto"/>
          <w:kern w:val="2"/>
          <w:sz w:val="32"/>
          <w:szCs w:val="32"/>
          <w:u w:val="none"/>
          <w:lang w:val="en" w:eastAsia="zh-CN" w:bidi="ar-SA"/>
        </w:rPr>
        <w:t>等党员青年人才</w:t>
      </w:r>
      <w:r>
        <w:rPr>
          <w:rFonts w:hint="eastAsia" w:ascii="宋体" w:hAnsi="宋体" w:eastAsia="仿宋_GB2312" w:cs="仿宋_GB2312"/>
          <w:color w:val="auto"/>
          <w:kern w:val="2"/>
          <w:sz w:val="32"/>
          <w:szCs w:val="32"/>
          <w:u w:val="none"/>
          <w:lang w:val="en-US" w:eastAsia="zh-CN" w:bidi="ar-SA"/>
        </w:rPr>
        <w:t>到乡村创业创新，带头发展文旅文创、特色种养、电商直播等产业，带动周边村民共同致富。持续开展“创享三明”创业服务等主题活动，在全市范围每年评选县级优秀创业创新项目100个以上，并从中评选一批市级优秀创业创新项目，对获得市级、县级优秀项目的，由市、县就业补助资金分别给予3－5万元、1－3万元的资金扶持。支持青年人才到乡村创业创新。支持优秀青年创业创新，对高校毕业生依法登记注册并正常经营三个月及以上（含三个月）的乡村创业项目，可申请最高30万元的创业担保贷款，并按规定给予享受最高不超过3次创业担保贷款贴息。</w:t>
      </w:r>
      <w:r>
        <w:rPr>
          <w:rFonts w:hint="eastAsia" w:ascii="宋体" w:hAnsi="宋体" w:eastAsia="楷体_GB2312" w:cs="楷体_GB2312"/>
          <w:color w:val="auto"/>
          <w:kern w:val="2"/>
          <w:sz w:val="32"/>
          <w:szCs w:val="32"/>
          <w:u w:val="none"/>
          <w:lang w:val="en-US" w:eastAsia="zh-CN" w:bidi="ar-SA"/>
        </w:rPr>
        <w:t>〔</w:t>
      </w:r>
      <w:r>
        <w:rPr>
          <w:rFonts w:hint="eastAsia" w:ascii="宋体" w:hAnsi="宋体" w:eastAsia="仿宋_GB2312" w:cs="仿宋_GB2312"/>
          <w:color w:val="auto"/>
          <w:kern w:val="2"/>
          <w:sz w:val="32"/>
          <w:szCs w:val="32"/>
          <w:u w:val="none"/>
          <w:lang w:val="en-US" w:eastAsia="zh-CN" w:bidi="ar-SA"/>
        </w:rPr>
        <w:t>责任单位：市委组织部，市财政局、人社局、农业农村局，团市委〕</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黑体" w:cs="黑体"/>
          <w:color w:val="auto"/>
          <w:kern w:val="2"/>
          <w:sz w:val="32"/>
          <w:szCs w:val="32"/>
          <w:u w:val="none"/>
          <w:lang w:val="en-US" w:eastAsia="zh-CN" w:bidi="ar-SA"/>
        </w:rPr>
      </w:pPr>
      <w:r>
        <w:rPr>
          <w:rFonts w:hint="eastAsia" w:ascii="宋体" w:hAnsi="宋体" w:eastAsia="黑体" w:cs="黑体"/>
          <w:color w:val="auto"/>
          <w:sz w:val="32"/>
          <w:szCs w:val="32"/>
          <w:u w:val="none"/>
          <w:lang w:val="en-US" w:eastAsia="zh-CN"/>
        </w:rPr>
        <w:t>二、</w:t>
      </w:r>
      <w:r>
        <w:rPr>
          <w:rFonts w:hint="eastAsia" w:ascii="宋体" w:hAnsi="宋体" w:eastAsia="黑体" w:cs="黑体"/>
          <w:color w:val="auto"/>
          <w:kern w:val="2"/>
          <w:sz w:val="32"/>
          <w:szCs w:val="32"/>
          <w:u w:val="none"/>
          <w:lang w:val="en-US" w:eastAsia="zh-CN" w:bidi="ar-SA"/>
        </w:rPr>
        <w:t>实施青年人才定向招募计划</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宋体" w:hAnsi="宋体" w:eastAsia="仿宋_GB2312" w:cs="仿宋_GB2312"/>
          <w:color w:val="auto"/>
          <w:kern w:val="2"/>
          <w:sz w:val="32"/>
          <w:szCs w:val="32"/>
          <w:u w:val="none"/>
          <w:lang w:val="en-US" w:eastAsia="zh-CN" w:bidi="ar-SA"/>
        </w:rPr>
      </w:pPr>
      <w:r>
        <w:rPr>
          <w:rFonts w:hint="eastAsia" w:ascii="宋体" w:hAnsi="宋体" w:eastAsia="楷体_GB2312" w:cs="楷体_GB2312"/>
          <w:b/>
          <w:bCs/>
          <w:color w:val="auto"/>
          <w:kern w:val="2"/>
          <w:sz w:val="32"/>
          <w:szCs w:val="32"/>
          <w:u w:val="none"/>
          <w:lang w:val="en-US" w:eastAsia="zh-CN" w:bidi="ar-SA"/>
        </w:rPr>
        <w:t>3.鼓励大学毕业生到村任职。</w:t>
      </w:r>
      <w:r>
        <w:rPr>
          <w:rFonts w:hint="eastAsia" w:ascii="宋体" w:hAnsi="宋体" w:eastAsia="仿宋_GB2312" w:cs="仿宋_GB2312"/>
          <w:color w:val="auto"/>
          <w:kern w:val="2"/>
          <w:sz w:val="32"/>
          <w:szCs w:val="32"/>
          <w:u w:val="none"/>
          <w:lang w:val="en-US" w:eastAsia="zh-CN" w:bidi="ar-SA"/>
        </w:rPr>
        <w:t>结合2026年村级组织换届，深入实施村党组织书记后备力量培育储备三年行动，积极动员和鼓励35周岁以下全日制大学本科以上毕业生到村担任村“两委”干部，对当选为村主干或其他村“两委”干部的，由</w:t>
      </w:r>
      <w:r>
        <w:rPr>
          <w:rFonts w:hint="eastAsia" w:ascii="宋体" w:hAnsi="宋体" w:eastAsia="仿宋_GB2312" w:cs="仿宋_GB2312"/>
          <w:color w:val="auto"/>
          <w:kern w:val="2"/>
          <w:sz w:val="32"/>
          <w:szCs w:val="32"/>
          <w:u w:val="none"/>
          <w:lang w:val="en-US" w:eastAsia="zh-CN" w:bidi="ar-SA"/>
        </w:rPr>
        <w:t>县级财政</w:t>
      </w:r>
      <w:r>
        <w:rPr>
          <w:rFonts w:hint="eastAsia" w:ascii="宋体" w:hAnsi="宋体" w:eastAsia="仿宋_GB2312" w:cs="仿宋_GB2312"/>
          <w:color w:val="auto"/>
          <w:kern w:val="2"/>
          <w:sz w:val="32"/>
          <w:szCs w:val="32"/>
          <w:u w:val="none"/>
          <w:lang w:val="en-US" w:eastAsia="zh-CN" w:bidi="ar-SA"/>
        </w:rPr>
        <w:t>分别给予5000元、3000元一次性安家补助；报酬待遇起始标准可分别按照所在县（市、区）当年度事业单位新参加工作的大学专科毕业生试用期满聘为十级职员应发工资的100%和80%执行；同时，可参照企业职工缴纳基本养老、医疗、失业、生育保险和住房公积金，其中基本养老保险和住房公积金单位配套缴纳部分，可由</w:t>
      </w:r>
      <w:r>
        <w:rPr>
          <w:rFonts w:hint="eastAsia" w:ascii="宋体" w:hAnsi="宋体" w:eastAsia="仿宋_GB2312" w:cs="仿宋_GB2312"/>
          <w:color w:val="auto"/>
          <w:kern w:val="2"/>
          <w:sz w:val="32"/>
          <w:szCs w:val="32"/>
          <w:u w:val="none"/>
          <w:lang w:val="en-US" w:eastAsia="zh-CN" w:bidi="ar-SA"/>
        </w:rPr>
        <w:t>县级财政</w:t>
      </w:r>
      <w:r>
        <w:rPr>
          <w:rFonts w:hint="eastAsia" w:ascii="宋体" w:hAnsi="宋体" w:eastAsia="仿宋_GB2312" w:cs="仿宋_GB2312"/>
          <w:color w:val="auto"/>
          <w:kern w:val="2"/>
          <w:sz w:val="32"/>
          <w:szCs w:val="32"/>
          <w:u w:val="none"/>
          <w:lang w:val="en-US" w:eastAsia="zh-CN" w:bidi="ar-SA"/>
        </w:rPr>
        <w:t>和所在乡镇按比例分担，医疗、失业、生育保险费用由所在乡镇财政予以保障。</w:t>
      </w:r>
      <w:r>
        <w:rPr>
          <w:rFonts w:hint="eastAsia" w:ascii="宋体" w:hAnsi="宋体" w:eastAsia="楷体_GB2312" w:cs="楷体_GB2312"/>
          <w:color w:val="auto"/>
          <w:kern w:val="2"/>
          <w:sz w:val="32"/>
          <w:szCs w:val="32"/>
          <w:u w:val="none"/>
          <w:lang w:val="en-US" w:eastAsia="zh-CN" w:bidi="ar-SA"/>
        </w:rPr>
        <w:t>〔责任单位：市委组织部、社会工作部，市财政局、民政局〕</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宋体" w:hAnsi="宋体" w:eastAsia="仿宋_GB2312" w:cs="仿宋_GB2312"/>
          <w:color w:val="auto"/>
          <w:kern w:val="2"/>
          <w:sz w:val="32"/>
          <w:szCs w:val="32"/>
          <w:u w:val="none"/>
          <w:lang w:val="en-US" w:eastAsia="zh-CN" w:bidi="ar-SA"/>
        </w:rPr>
      </w:pPr>
      <w:r>
        <w:rPr>
          <w:rFonts w:hint="eastAsia" w:ascii="宋体" w:hAnsi="宋体" w:eastAsia="楷体_GB2312" w:cs="楷体_GB2312"/>
          <w:b/>
          <w:bCs/>
          <w:color w:val="auto"/>
          <w:kern w:val="2"/>
          <w:sz w:val="32"/>
          <w:szCs w:val="32"/>
          <w:u w:val="none"/>
          <w:lang w:val="en-US" w:eastAsia="zh-CN" w:bidi="ar-SA"/>
        </w:rPr>
        <w:t>4.推动“三支一扶”扩面</w:t>
      </w:r>
      <w:r>
        <w:rPr>
          <w:rFonts w:hint="eastAsia" w:ascii="宋体" w:hAnsi="宋体" w:eastAsia="楷体_GB2312" w:cs="楷体_GB2312"/>
          <w:b/>
          <w:bCs/>
          <w:color w:val="auto"/>
          <w:kern w:val="2"/>
          <w:sz w:val="32"/>
          <w:szCs w:val="32"/>
          <w:u w:val="none"/>
          <w:lang w:val="en-US" w:eastAsia="zh-CN" w:bidi="ar-SA"/>
        </w:rPr>
        <w:t>提</w:t>
      </w:r>
      <w:r>
        <w:rPr>
          <w:rFonts w:hint="eastAsia" w:ascii="宋体" w:hAnsi="宋体" w:eastAsia="楷体_GB2312" w:cs="楷体_GB2312"/>
          <w:b/>
          <w:bCs/>
          <w:color w:val="auto"/>
          <w:kern w:val="2"/>
          <w:sz w:val="32"/>
          <w:szCs w:val="32"/>
          <w:u w:val="none"/>
          <w:lang w:val="en-US" w:eastAsia="zh-CN" w:bidi="ar-SA"/>
        </w:rPr>
        <w:t>质。</w:t>
      </w:r>
      <w:r>
        <w:rPr>
          <w:rFonts w:hint="eastAsia" w:ascii="宋体" w:hAnsi="宋体" w:eastAsia="仿宋_GB2312" w:cs="仿宋_GB2312"/>
          <w:color w:val="auto"/>
          <w:kern w:val="2"/>
          <w:sz w:val="32"/>
          <w:szCs w:val="32"/>
          <w:u w:val="none"/>
          <w:lang w:val="en-US" w:eastAsia="zh-CN" w:bidi="ar-SA"/>
        </w:rPr>
        <w:t>每年招募100名以上高校毕业生到纳入县级基本财力保障范围的县、乡、村从事“三支一扶”工作，</w:t>
      </w:r>
      <w:r>
        <w:rPr>
          <w:rFonts w:hint="eastAsia" w:ascii="宋体" w:hAnsi="宋体" w:eastAsia="仿宋_GB2312" w:cs="仿宋_GB2312"/>
          <w:color w:val="auto"/>
          <w:kern w:val="2"/>
          <w:sz w:val="32"/>
          <w:szCs w:val="32"/>
          <w:u w:val="none"/>
          <w:lang w:val="en-US" w:eastAsia="zh-CN" w:bidi="ar-SA"/>
        </w:rPr>
        <w:t>服务期限为2年，为其缴纳五险，按福建省上年度全口径城镇单位就业人员平均工资60%确定生活补贴标准和社会保险缴费基数（如有调整，按最新文件执行），按月发放生活补贴。参加“三支一扶”计划前无工作经历的高校毕业生服务期满考核合格的，在2年内参加事业单位招聘、各类企业吸纳就业、自主创业、落户、升学等方面可同等享受应届高校毕业生的相关政策，在福建省公务员录用和事业单位公开招聘考试中可报考面向服务基层项目高校毕业生的专门岗位。</w:t>
      </w:r>
      <w:r>
        <w:rPr>
          <w:rFonts w:hint="eastAsia" w:ascii="宋体" w:hAnsi="宋体" w:eastAsia="楷体_GB2312" w:cs="楷体_GB2312"/>
          <w:color w:val="auto"/>
          <w:sz w:val="32"/>
          <w:szCs w:val="32"/>
          <w:u w:val="none"/>
          <w:lang w:val="en-US" w:eastAsia="zh-CN"/>
        </w:rPr>
        <w:t>〔责任单位：市人社局</w:t>
      </w:r>
      <w:r>
        <w:rPr>
          <w:rFonts w:hint="eastAsia" w:ascii="宋体" w:hAnsi="宋体" w:eastAsia="楷体_GB2312" w:cs="楷体_GB2312"/>
          <w:color w:val="auto"/>
          <w:sz w:val="32"/>
          <w:szCs w:val="32"/>
          <w:u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宋体" w:hAnsi="宋体" w:eastAsia="楷体_GB2312" w:cs="楷体_GB2312"/>
          <w:color w:val="auto"/>
          <w:sz w:val="32"/>
          <w:szCs w:val="32"/>
          <w:u w:val="none"/>
        </w:rPr>
      </w:pPr>
      <w:r>
        <w:rPr>
          <w:rFonts w:hint="eastAsia" w:ascii="宋体" w:hAnsi="宋体" w:eastAsia="楷体_GB2312" w:cs="楷体_GB2312"/>
          <w:b/>
          <w:bCs/>
          <w:color w:val="auto"/>
          <w:kern w:val="2"/>
          <w:sz w:val="32"/>
          <w:szCs w:val="32"/>
          <w:u w:val="none"/>
          <w:lang w:val="en-US" w:eastAsia="zh-CN" w:bidi="ar-SA"/>
        </w:rPr>
        <w:t>5.推进“大学生志愿服务乡村振兴计划”。</w:t>
      </w:r>
      <w:r>
        <w:rPr>
          <w:rFonts w:hint="eastAsia" w:ascii="宋体" w:hAnsi="宋体" w:eastAsia="仿宋_GB2312" w:cs="仿宋_GB2312"/>
          <w:color w:val="auto"/>
          <w:kern w:val="2"/>
          <w:sz w:val="32"/>
          <w:szCs w:val="32"/>
          <w:u w:val="none"/>
          <w:lang w:val="en-US" w:eastAsia="zh-CN" w:bidi="ar-SA"/>
        </w:rPr>
        <w:t>每年招募70名以上高校毕业生到纳入县级基本财力保障范围的县(市、区)、原省级扶贫开发工作重点县、国家乡村振兴示范县创建单位的乡镇，省级乡村振兴示范乡镇、省级乡村振兴示范村所在乡镇从事“乡村振兴计划”工作，服务期限为2年，为其缴纳五险，每人每月补贴4414元。服务期满1年且考核合格后可按规定参加职称评定；服务期满2年，参加事业单位招聘、自主创业等享受应届高校毕业生政策，在福建省公务员录用考试中可报考面向服务基层项目大学生的专门岗位。</w:t>
      </w:r>
      <w:r>
        <w:rPr>
          <w:rFonts w:hint="eastAsia" w:ascii="宋体" w:hAnsi="宋体" w:eastAsia="楷体_GB2312" w:cs="楷体_GB2312"/>
          <w:color w:val="auto"/>
          <w:sz w:val="32"/>
          <w:szCs w:val="32"/>
          <w:u w:val="none"/>
          <w:lang w:val="en-US" w:eastAsia="zh-CN"/>
        </w:rPr>
        <w:t>〔责任单位：团市</w:t>
      </w:r>
      <w:r>
        <w:rPr>
          <w:rFonts w:hint="eastAsia" w:ascii="宋体" w:hAnsi="宋体" w:eastAsia="楷体_GB2312" w:cs="楷体_GB2312"/>
          <w:color w:val="auto"/>
          <w:sz w:val="32"/>
          <w:szCs w:val="32"/>
          <w:u w:val="none"/>
        </w:rPr>
        <w:t>委〕</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宋体" w:hAnsi="宋体" w:eastAsia="楷体_GB2312" w:cs="楷体_GB2312"/>
          <w:color w:val="auto"/>
          <w:sz w:val="32"/>
          <w:szCs w:val="32"/>
          <w:u w:val="none"/>
          <w:lang w:val="en-US" w:eastAsia="zh-CN"/>
        </w:rPr>
      </w:pPr>
      <w:r>
        <w:rPr>
          <w:rFonts w:hint="eastAsia" w:ascii="宋体" w:hAnsi="宋体" w:eastAsia="楷体_GB2312" w:cs="楷体_GB2312"/>
          <w:b/>
          <w:bCs/>
          <w:color w:val="auto"/>
          <w:kern w:val="2"/>
          <w:sz w:val="32"/>
          <w:szCs w:val="32"/>
          <w:u w:val="none"/>
          <w:lang w:val="en-US" w:eastAsia="zh-CN" w:bidi="ar-SA"/>
        </w:rPr>
        <w:t>6.选认青年科技人员入乡服务。</w:t>
      </w:r>
      <w:r>
        <w:rPr>
          <w:rFonts w:hint="eastAsia" w:ascii="宋体" w:hAnsi="宋体" w:eastAsia="仿宋_GB2312" w:cs="仿宋_GB2312"/>
          <w:color w:val="auto"/>
          <w:kern w:val="2"/>
          <w:sz w:val="32"/>
          <w:szCs w:val="32"/>
          <w:u w:val="none"/>
          <w:lang w:val="en-US" w:eastAsia="zh-CN" w:bidi="ar-SA"/>
        </w:rPr>
        <w:t>围绕乡村振兴和重点产业发展需求，选认100名优秀的青年科技人员作为科技特派员入乡进企开展科技服务，并给予工作经费支持。对青年科技特派员开展技术开发与产业化示范并取得良好成效的项目，给予科技特派员后补助项目立项支持。</w:t>
      </w:r>
      <w:r>
        <w:rPr>
          <w:rFonts w:hint="eastAsia" w:ascii="宋体" w:hAnsi="宋体" w:eastAsia="楷体_GB2312" w:cs="楷体_GB2312"/>
          <w:color w:val="auto"/>
          <w:sz w:val="32"/>
          <w:szCs w:val="32"/>
          <w:u w:val="none"/>
          <w:lang w:val="en-US" w:eastAsia="zh-CN"/>
        </w:rPr>
        <w:t>〔责任单位：市科技局〕</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宋体" w:hAnsi="宋体" w:eastAsia="楷体_GB2312" w:cs="楷体_GB2312"/>
          <w:b/>
          <w:bCs/>
          <w:color w:val="auto"/>
          <w:kern w:val="2"/>
          <w:sz w:val="32"/>
          <w:szCs w:val="32"/>
          <w:u w:val="none"/>
          <w:lang w:val="en-US" w:eastAsia="zh-CN" w:bidi="ar-SA"/>
        </w:rPr>
      </w:pPr>
      <w:r>
        <w:rPr>
          <w:rFonts w:hint="eastAsia" w:ascii="宋体" w:hAnsi="宋体" w:eastAsia="楷体_GB2312" w:cs="楷体_GB2312"/>
          <w:b/>
          <w:bCs/>
          <w:color w:val="auto"/>
          <w:kern w:val="2"/>
          <w:sz w:val="32"/>
          <w:szCs w:val="32"/>
          <w:u w:val="none"/>
          <w:lang w:val="en-US" w:eastAsia="zh-CN" w:bidi="ar-SA"/>
        </w:rPr>
        <w:t>7.加强台湾青年人才招引。</w:t>
      </w:r>
      <w:r>
        <w:rPr>
          <w:rFonts w:hint="eastAsia" w:ascii="宋体" w:hAnsi="宋体" w:eastAsia="仿宋_GB2312" w:cs="仿宋_GB2312"/>
          <w:color w:val="auto"/>
          <w:kern w:val="2"/>
          <w:sz w:val="32"/>
          <w:szCs w:val="32"/>
          <w:u w:val="none"/>
          <w:lang w:val="en-US" w:eastAsia="zh-CN" w:bidi="ar-SA"/>
        </w:rPr>
        <w:t>以海峡两岸乡村融合发展试验区建设为契机，引进台湾优秀乡建乡创团</w:t>
      </w:r>
      <w:r>
        <w:rPr>
          <w:rFonts w:hint="eastAsia" w:ascii="宋体" w:hAnsi="宋体" w:eastAsia="仿宋_GB2312" w:cs="仿宋_GB2312"/>
          <w:b w:val="0"/>
          <w:bCs w:val="0"/>
          <w:color w:val="auto"/>
          <w:sz w:val="32"/>
          <w:szCs w:val="32"/>
          <w:u w:val="none"/>
          <w:lang w:val="en-US" w:eastAsia="zh-CN"/>
        </w:rPr>
        <w:t>队参与乡村规划设计、乡村文创产品开发等美丽乡村建设，开展陪伴式服务，打造一批乡建乡创样板县、样板镇和样板村。加强与台湾各大高校沟通对接，引进台湾大学生到我市开展实习实训交流，对注册地在省内（除厦门）、持续经营2年以上，承接从台湾岛内来大陆，且首次来大陆的台湾青年占比达20%以上，承接的台湾青年每次在明实训时间连续不低于1个月（按30天计）的乡村企事业单位（含社工组织），按承接实习实训的台湾青年人数，每人给予6000元补助；承接首次来大陆的台湾青年占比没有达20%的，按实际承接人数，每人给予5000元补助。对新招收台湾青年就业，并与其签订1年以上劳动合同，且实际用工满1年的在明乡村各类企事业单位，按照招聘台湾青年人数给予每人每年3.6万元补助，累计不超过3年；对于超过1年但不满一个计数年度的（以用人单位为台青缴交社保、个税申报或银行工资发放记录为准），按照实际用工时间，给予相应月份补助。</w:t>
      </w:r>
      <w:r>
        <w:rPr>
          <w:rFonts w:hint="eastAsia" w:ascii="宋体" w:hAnsi="宋体" w:eastAsia="楷体_GB2312" w:cs="楷体_GB2312"/>
          <w:color w:val="auto"/>
          <w:sz w:val="32"/>
          <w:szCs w:val="32"/>
          <w:u w:val="none"/>
          <w:lang w:val="en-US" w:eastAsia="zh-CN"/>
        </w:rPr>
        <w:t>〔责任单位：市委台办，市财政局、住建局、农业农村局〕</w:t>
      </w:r>
    </w:p>
    <w:p>
      <w:pPr>
        <w:pStyle w:val="4"/>
        <w:keepNext w:val="0"/>
        <w:keepLines w:val="0"/>
        <w:pageBreakBefore w:val="0"/>
        <w:widowControl w:val="0"/>
        <w:tabs>
          <w:tab w:val="left" w:pos="0"/>
        </w:tabs>
        <w:kinsoku/>
        <w:wordWrap/>
        <w:overflowPunct/>
        <w:topLinePunct w:val="0"/>
        <w:autoSpaceDE/>
        <w:autoSpaceDN/>
        <w:bidi w:val="0"/>
        <w:adjustRightInd/>
        <w:snapToGrid/>
        <w:spacing w:after="0" w:line="560" w:lineRule="exact"/>
        <w:ind w:firstLine="640" w:firstLineChars="200"/>
        <w:textAlignment w:val="auto"/>
        <w:rPr>
          <w:rFonts w:hint="eastAsia" w:ascii="宋体" w:hAnsi="宋体" w:eastAsia="黑体" w:cs="黑体"/>
          <w:color w:val="auto"/>
          <w:kern w:val="2"/>
          <w:sz w:val="32"/>
          <w:szCs w:val="32"/>
          <w:u w:val="none"/>
          <w:lang w:val="en-US" w:eastAsia="zh-CN" w:bidi="ar-SA"/>
        </w:rPr>
      </w:pPr>
      <w:r>
        <w:rPr>
          <w:rFonts w:hint="eastAsia" w:ascii="宋体" w:hAnsi="宋体" w:eastAsia="黑体" w:cs="黑体"/>
          <w:color w:val="auto"/>
          <w:kern w:val="2"/>
          <w:sz w:val="32"/>
          <w:szCs w:val="32"/>
          <w:u w:val="none"/>
          <w:lang w:val="en-US" w:eastAsia="zh-CN" w:bidi="ar-SA"/>
        </w:rPr>
        <w:t>三、构建乡村青年人才培育体系</w:t>
      </w:r>
    </w:p>
    <w:p>
      <w:pPr>
        <w:pStyle w:val="4"/>
        <w:keepNext w:val="0"/>
        <w:keepLines w:val="0"/>
        <w:pageBreakBefore w:val="0"/>
        <w:widowControl w:val="0"/>
        <w:tabs>
          <w:tab w:val="left" w:pos="0"/>
        </w:tabs>
        <w:kinsoku/>
        <w:wordWrap/>
        <w:overflowPunct/>
        <w:topLinePunct w:val="0"/>
        <w:autoSpaceDE/>
        <w:autoSpaceDN/>
        <w:bidi w:val="0"/>
        <w:adjustRightInd/>
        <w:snapToGrid/>
        <w:spacing w:after="0" w:line="560" w:lineRule="exact"/>
        <w:ind w:firstLine="643" w:firstLineChars="200"/>
        <w:textAlignment w:val="auto"/>
        <w:rPr>
          <w:rFonts w:hint="eastAsia" w:ascii="宋体" w:hAnsi="宋体" w:eastAsia="仿宋_GB2312" w:cs="仿宋_GB2312"/>
          <w:color w:val="auto"/>
          <w:sz w:val="32"/>
          <w:szCs w:val="32"/>
          <w:u w:val="none"/>
          <w:lang w:eastAsia="zh-CN"/>
        </w:rPr>
      </w:pPr>
      <w:r>
        <w:rPr>
          <w:rFonts w:hint="eastAsia" w:ascii="宋体" w:hAnsi="宋体" w:eastAsia="楷体_GB2312" w:cs="楷体_GB2312"/>
          <w:b/>
          <w:bCs/>
          <w:color w:val="auto"/>
          <w:sz w:val="32"/>
          <w:szCs w:val="32"/>
          <w:u w:val="none"/>
          <w:lang w:val="en-US" w:eastAsia="zh-CN"/>
        </w:rPr>
        <w:t>8.实施高素质农民培训提升工程。</w:t>
      </w:r>
      <w:r>
        <w:rPr>
          <w:rFonts w:hint="eastAsia" w:ascii="宋体" w:hAnsi="宋体" w:eastAsia="仿宋_GB2312" w:cs="仿宋_GB2312"/>
          <w:color w:val="auto"/>
          <w:sz w:val="32"/>
          <w:szCs w:val="32"/>
          <w:u w:val="none"/>
          <w:lang w:val="en-US" w:eastAsia="zh-CN"/>
        </w:rPr>
        <w:t>实施高素质农民培育项目，对正在从事或有意愿从事农业农村领域生产、经营、服务的农民和返乡人员，开展提升农业技术技能、产业发展能力和综合素质素养等方面的免费培训，每年培训3000人。实施高素质农民学历提升项目，对在我市从事农业生产、经营和服务的农民以及乡村社会事业服务等三明市户籍的青年人员提供参与继续教育补助，本科学历继续教育学员每生每学年补助2000元，专科学历继续教育学员每生每学年补助4000元，中等职业学历继续教育学员每生每学年补助600元。</w:t>
      </w:r>
      <w:r>
        <w:rPr>
          <w:rFonts w:hint="eastAsia" w:ascii="宋体" w:hAnsi="宋体" w:eastAsia="楷体_GB2312" w:cs="楷体_GB2312"/>
          <w:color w:val="auto"/>
          <w:sz w:val="32"/>
          <w:szCs w:val="32"/>
          <w:u w:val="none"/>
        </w:rPr>
        <w:t>〔责任单位：</w:t>
      </w:r>
      <w:r>
        <w:rPr>
          <w:rFonts w:hint="eastAsia" w:ascii="宋体" w:hAnsi="宋体" w:eastAsia="楷体_GB2312" w:cs="楷体_GB2312"/>
          <w:color w:val="auto"/>
          <w:sz w:val="32"/>
          <w:szCs w:val="32"/>
          <w:u w:val="none"/>
          <w:lang w:val="en-US" w:eastAsia="zh-CN"/>
        </w:rPr>
        <w:t>市</w:t>
      </w:r>
      <w:r>
        <w:rPr>
          <w:rFonts w:hint="eastAsia" w:ascii="宋体" w:hAnsi="宋体" w:eastAsia="楷体_GB2312" w:cs="楷体_GB2312"/>
          <w:color w:val="auto"/>
          <w:sz w:val="32"/>
          <w:szCs w:val="32"/>
          <w:u w:val="none"/>
        </w:rPr>
        <w:t>农业农村局〕</w:t>
      </w:r>
    </w:p>
    <w:p>
      <w:pPr>
        <w:pStyle w:val="4"/>
        <w:keepNext w:val="0"/>
        <w:keepLines w:val="0"/>
        <w:pageBreakBefore w:val="0"/>
        <w:widowControl w:val="0"/>
        <w:tabs>
          <w:tab w:val="left" w:pos="0"/>
        </w:tabs>
        <w:kinsoku/>
        <w:wordWrap/>
        <w:overflowPunct/>
        <w:topLinePunct w:val="0"/>
        <w:autoSpaceDE/>
        <w:autoSpaceDN/>
        <w:bidi w:val="0"/>
        <w:adjustRightInd/>
        <w:snapToGrid/>
        <w:spacing w:after="0" w:line="560" w:lineRule="exact"/>
        <w:ind w:firstLine="643" w:firstLineChars="200"/>
        <w:textAlignment w:val="auto"/>
        <w:rPr>
          <w:rFonts w:hint="eastAsia" w:ascii="宋体" w:hAnsi="宋体" w:eastAsia="仿宋_GB2312" w:cs="仿宋_GB2312"/>
          <w:color w:val="auto"/>
          <w:sz w:val="32"/>
          <w:szCs w:val="32"/>
          <w:u w:val="none"/>
          <w:lang w:eastAsia="zh-CN"/>
        </w:rPr>
      </w:pPr>
      <w:r>
        <w:rPr>
          <w:rFonts w:hint="eastAsia" w:ascii="宋体" w:hAnsi="宋体" w:eastAsia="楷体_GB2312" w:cs="楷体_GB2312"/>
          <w:b/>
          <w:bCs/>
          <w:color w:val="auto"/>
          <w:kern w:val="2"/>
          <w:sz w:val="32"/>
          <w:szCs w:val="32"/>
          <w:u w:val="none"/>
          <w:lang w:val="en-US" w:eastAsia="zh-CN" w:bidi="ar-SA"/>
        </w:rPr>
        <w:t>9.实施乡镇农技推广紧缺专业定向委培工程。</w:t>
      </w:r>
      <w:r>
        <w:rPr>
          <w:rFonts w:hint="eastAsia" w:ascii="宋体" w:hAnsi="宋体" w:eastAsia="仿宋_GB2312" w:cs="仿宋_GB2312"/>
          <w:color w:val="auto"/>
          <w:sz w:val="32"/>
          <w:szCs w:val="32"/>
          <w:u w:val="none"/>
          <w:lang w:val="en-US" w:eastAsia="zh-CN"/>
        </w:rPr>
        <w:t>在福建农林大学、福建农业职业技术学院的相关涉农专业，从普通高考考生中定向招收乡镇农技推广紧缺专业学生，采取“定向培养”“绿色通道”等方式以及本土化就业办法，毕业后定向回户籍县的乡镇农技推广机构就业，进一步加强基层农技推广服务技术力量。</w:t>
      </w:r>
      <w:r>
        <w:rPr>
          <w:rFonts w:hint="eastAsia" w:ascii="宋体" w:hAnsi="宋体" w:eastAsia="楷体_GB2312" w:cs="楷体_GB2312"/>
          <w:color w:val="auto"/>
          <w:sz w:val="32"/>
          <w:szCs w:val="32"/>
          <w:u w:val="none"/>
        </w:rPr>
        <w:t>〔责任单位：</w:t>
      </w:r>
      <w:r>
        <w:rPr>
          <w:rFonts w:hint="eastAsia" w:ascii="宋体" w:hAnsi="宋体" w:eastAsia="楷体_GB2312" w:cs="楷体_GB2312"/>
          <w:color w:val="auto"/>
          <w:sz w:val="32"/>
          <w:szCs w:val="32"/>
          <w:u w:val="none"/>
          <w:lang w:val="en-US" w:eastAsia="zh-CN"/>
        </w:rPr>
        <w:t>市委编办，</w:t>
      </w:r>
      <w:r>
        <w:rPr>
          <w:rFonts w:hint="eastAsia" w:ascii="宋体" w:hAnsi="宋体" w:eastAsia="楷体_GB2312" w:cs="楷体_GB2312"/>
          <w:color w:val="auto"/>
          <w:sz w:val="32"/>
          <w:szCs w:val="32"/>
          <w:u w:val="none"/>
        </w:rPr>
        <w:t>市</w:t>
      </w:r>
      <w:r>
        <w:rPr>
          <w:rFonts w:hint="eastAsia" w:ascii="宋体" w:hAnsi="宋体" w:eastAsia="楷体_GB2312" w:cs="楷体_GB2312"/>
          <w:color w:val="auto"/>
          <w:sz w:val="32"/>
          <w:szCs w:val="32"/>
          <w:u w:val="none"/>
          <w:lang w:val="en-US" w:eastAsia="zh-CN"/>
        </w:rPr>
        <w:t>人社局、教育局、</w:t>
      </w:r>
      <w:r>
        <w:rPr>
          <w:rFonts w:hint="eastAsia" w:ascii="宋体" w:hAnsi="宋体" w:eastAsia="楷体_GB2312" w:cs="楷体_GB2312"/>
          <w:color w:val="auto"/>
          <w:sz w:val="32"/>
          <w:szCs w:val="32"/>
          <w:u w:val="none"/>
        </w:rPr>
        <w:t>农业农村局〕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黑体" w:cs="黑体"/>
          <w:color w:val="auto"/>
          <w:kern w:val="2"/>
          <w:sz w:val="32"/>
          <w:szCs w:val="32"/>
          <w:u w:val="none"/>
          <w:lang w:val="en-US" w:eastAsia="zh-CN" w:bidi="ar-SA"/>
        </w:rPr>
      </w:pPr>
      <w:r>
        <w:rPr>
          <w:rFonts w:hint="eastAsia" w:ascii="宋体" w:hAnsi="宋体" w:eastAsia="黑体" w:cs="黑体"/>
          <w:color w:val="auto"/>
          <w:kern w:val="2"/>
          <w:sz w:val="32"/>
          <w:szCs w:val="32"/>
          <w:u w:val="none"/>
          <w:lang w:val="en-US" w:eastAsia="zh-CN" w:bidi="ar-SA"/>
        </w:rPr>
        <w:t>四、搭建乡村青年发展阶梯</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宋体" w:hAnsi="宋体" w:eastAsia="仿宋_GB2312" w:cs="仿宋_GB2312"/>
          <w:color w:val="auto"/>
          <w:sz w:val="32"/>
          <w:szCs w:val="32"/>
          <w:u w:val="none"/>
          <w:lang w:val="en-US" w:eastAsia="zh-CN"/>
        </w:rPr>
      </w:pPr>
      <w:r>
        <w:rPr>
          <w:rFonts w:hint="eastAsia" w:ascii="宋体" w:hAnsi="宋体" w:eastAsia="楷体_GB2312" w:cs="楷体_GB2312"/>
          <w:b/>
          <w:bCs/>
          <w:color w:val="auto"/>
          <w:kern w:val="2"/>
          <w:sz w:val="32"/>
          <w:szCs w:val="32"/>
          <w:u w:val="none"/>
          <w:lang w:val="en-US" w:eastAsia="zh-CN" w:bidi="ar-SA"/>
        </w:rPr>
        <w:t>10.建设乡村人才集聚平台。</w:t>
      </w:r>
      <w:r>
        <w:rPr>
          <w:rFonts w:hint="eastAsia" w:ascii="宋体" w:hAnsi="宋体" w:eastAsia="仿宋_GB2312" w:cs="仿宋_GB2312"/>
          <w:color w:val="auto"/>
          <w:sz w:val="32"/>
          <w:szCs w:val="32"/>
          <w:u w:val="none"/>
          <w:lang w:val="en-US" w:eastAsia="zh-CN"/>
        </w:rPr>
        <w:t>支持村集体经济组织整合农村闲置资源、固定资产与社会化企业开展股份制合作，在乡（镇）、村合作建设创新创业孵化实训基地、乡村研学实践基地等载体，且投资达100万元以上的，按照集体经济组织当年分红的50%，由</w:t>
      </w:r>
      <w:r>
        <w:rPr>
          <w:rFonts w:hint="eastAsia" w:ascii="宋体" w:hAnsi="宋体" w:eastAsia="仿宋_GB2312" w:cs="仿宋_GB2312"/>
          <w:color w:val="auto"/>
          <w:sz w:val="32"/>
          <w:szCs w:val="32"/>
          <w:u w:val="none"/>
          <w:lang w:val="en-US" w:eastAsia="zh-CN"/>
        </w:rPr>
        <w:t>县级财政</w:t>
      </w:r>
      <w:r>
        <w:rPr>
          <w:rFonts w:hint="eastAsia" w:ascii="宋体" w:hAnsi="宋体" w:eastAsia="仿宋_GB2312" w:cs="仿宋_GB2312"/>
          <w:color w:val="auto"/>
          <w:sz w:val="32"/>
          <w:szCs w:val="32"/>
          <w:u w:val="none"/>
          <w:lang w:val="en-US" w:eastAsia="zh-CN"/>
        </w:rPr>
        <w:t>每年给予集体经济组织最高10万元奖励，连续奖励3年。</w:t>
      </w:r>
      <w:r>
        <w:rPr>
          <w:rFonts w:hint="eastAsia" w:ascii="宋体" w:hAnsi="宋体" w:eastAsia="仿宋_GB2312" w:cs="仿宋_GB2312"/>
          <w:color w:val="auto"/>
          <w:sz w:val="32"/>
          <w:szCs w:val="32"/>
          <w:u w:val="none"/>
        </w:rPr>
        <w:t>〔</w:t>
      </w:r>
      <w:r>
        <w:rPr>
          <w:rFonts w:hint="eastAsia" w:ascii="宋体" w:hAnsi="宋体" w:eastAsia="楷体_GB2312" w:cs="楷体_GB2312"/>
          <w:color w:val="auto"/>
          <w:sz w:val="32"/>
          <w:szCs w:val="32"/>
          <w:u w:val="none"/>
        </w:rPr>
        <w:t>责任单位：</w:t>
      </w:r>
      <w:r>
        <w:rPr>
          <w:rFonts w:hint="eastAsia" w:ascii="宋体" w:hAnsi="宋体" w:eastAsia="楷体_GB2312" w:cs="楷体_GB2312"/>
          <w:color w:val="auto"/>
          <w:sz w:val="32"/>
          <w:szCs w:val="32"/>
          <w:u w:val="none"/>
          <w:lang w:val="en-US" w:eastAsia="zh-CN"/>
        </w:rPr>
        <w:t>市农业农村局、财政局</w:t>
      </w:r>
      <w:r>
        <w:rPr>
          <w:rFonts w:hint="eastAsia" w:ascii="宋体" w:hAnsi="宋体" w:eastAsia="楷体_GB2312" w:cs="楷体_GB2312"/>
          <w:color w:val="auto"/>
          <w:sz w:val="32"/>
          <w:szCs w:val="32"/>
          <w:u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宋体" w:hAnsi="宋体" w:eastAsia="仿宋_GB2312" w:cs="仿宋_GB2312"/>
          <w:color w:val="auto"/>
          <w:sz w:val="32"/>
          <w:szCs w:val="32"/>
          <w:u w:val="none"/>
          <w:lang w:val="en-US" w:eastAsia="zh-CN"/>
        </w:rPr>
      </w:pPr>
      <w:r>
        <w:rPr>
          <w:rFonts w:hint="eastAsia" w:ascii="宋体" w:hAnsi="宋体" w:eastAsia="楷体_GB2312" w:cs="楷体_GB2312"/>
          <w:b/>
          <w:bCs/>
          <w:color w:val="auto"/>
          <w:sz w:val="32"/>
          <w:szCs w:val="32"/>
          <w:u w:val="none"/>
          <w:lang w:val="en-US" w:eastAsia="zh-CN"/>
        </w:rPr>
        <w:t>11.发展壮大新农人协会。</w:t>
      </w:r>
      <w:r>
        <w:rPr>
          <w:rFonts w:hint="eastAsia" w:ascii="宋体" w:hAnsi="宋体" w:eastAsia="仿宋_GB2312" w:cs="仿宋_GB2312"/>
          <w:color w:val="auto"/>
          <w:sz w:val="32"/>
          <w:szCs w:val="32"/>
          <w:u w:val="none"/>
        </w:rPr>
        <w:t>进一步优化</w:t>
      </w:r>
      <w:r>
        <w:rPr>
          <w:rFonts w:hint="eastAsia" w:ascii="宋体" w:hAnsi="宋体" w:eastAsia="仿宋_GB2312" w:cs="黑体"/>
          <w:color w:val="auto"/>
          <w:sz w:val="32"/>
          <w:szCs w:val="32"/>
          <w:u w:val="none"/>
        </w:rPr>
        <w:t>完善三明市新农人协会创业孵化、要素对接、培训提升等于一体的服务功能，每年重点吸收一批文化素养高、生产技能高、产业水平高的优秀入乡青年加入协会，鼓励支持各县（市、区）成立县级新农人协会，持续壮大新农人协会青年会员队伍。</w:t>
      </w:r>
      <w:r>
        <w:rPr>
          <w:rFonts w:hint="eastAsia" w:ascii="宋体" w:hAnsi="宋体" w:eastAsia="仿宋_GB2312" w:cs="仿宋_GB2312"/>
          <w:color w:val="auto"/>
          <w:sz w:val="32"/>
          <w:szCs w:val="32"/>
          <w:u w:val="none"/>
        </w:rPr>
        <w:t>〔</w:t>
      </w:r>
      <w:r>
        <w:rPr>
          <w:rFonts w:hint="eastAsia" w:ascii="宋体" w:hAnsi="宋体" w:eastAsia="楷体_GB2312" w:cs="楷体_GB2312"/>
          <w:color w:val="auto"/>
          <w:sz w:val="32"/>
          <w:szCs w:val="32"/>
          <w:u w:val="none"/>
        </w:rPr>
        <w:t>责任单位：</w:t>
      </w:r>
      <w:r>
        <w:rPr>
          <w:rFonts w:hint="eastAsia" w:ascii="宋体" w:hAnsi="宋体" w:eastAsia="楷体_GB2312" w:cs="楷体_GB2312"/>
          <w:color w:val="auto"/>
          <w:sz w:val="32"/>
          <w:szCs w:val="32"/>
          <w:u w:val="none"/>
          <w:lang w:val="en-US" w:eastAsia="zh-CN"/>
        </w:rPr>
        <w:t>市农业农村局</w:t>
      </w:r>
      <w:r>
        <w:rPr>
          <w:rFonts w:hint="eastAsia" w:ascii="宋体" w:hAnsi="宋体" w:eastAsia="楷体_GB2312" w:cs="楷体_GB2312"/>
          <w:color w:val="auto"/>
          <w:sz w:val="32"/>
          <w:szCs w:val="32"/>
          <w:u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宋体" w:hAnsi="宋体" w:eastAsia="仿宋_GB2312" w:cs="仿宋_GB2312"/>
          <w:color w:val="auto"/>
          <w:sz w:val="32"/>
          <w:szCs w:val="32"/>
          <w:u w:val="none"/>
          <w:lang w:val="en-US" w:eastAsia="zh-CN"/>
        </w:rPr>
      </w:pPr>
      <w:r>
        <w:rPr>
          <w:rFonts w:hint="eastAsia" w:ascii="宋体" w:hAnsi="宋体" w:eastAsia="楷体_GB2312" w:cs="楷体_GB2312"/>
          <w:b/>
          <w:bCs/>
          <w:color w:val="auto"/>
          <w:kern w:val="2"/>
          <w:sz w:val="32"/>
          <w:szCs w:val="32"/>
          <w:u w:val="none"/>
          <w:lang w:val="en-US" w:eastAsia="zh-CN" w:bidi="ar-SA"/>
        </w:rPr>
        <w:t>12.完善正向激励机制。</w:t>
      </w:r>
      <w:r>
        <w:rPr>
          <w:rFonts w:hint="eastAsia" w:ascii="宋体" w:hAnsi="宋体" w:eastAsia="仿宋_GB2312" w:cs="仿宋_GB2312"/>
          <w:color w:val="auto"/>
          <w:sz w:val="32"/>
          <w:szCs w:val="32"/>
          <w:u w:val="none"/>
          <w:lang w:eastAsia="zh-CN"/>
        </w:rPr>
        <w:t>对符合条件的优秀青年人才可优先认定为乡村振兴领域人才，</w:t>
      </w:r>
      <w:r>
        <w:rPr>
          <w:rFonts w:hint="eastAsia" w:ascii="宋体" w:hAnsi="宋体" w:eastAsia="仿宋_GB2312" w:cs="仿宋_GB2312"/>
          <w:color w:val="auto"/>
          <w:sz w:val="32"/>
          <w:szCs w:val="32"/>
          <w:u w:val="none"/>
        </w:rPr>
        <w:t>发放“三明麒麟山英才卡”，</w:t>
      </w:r>
      <w:r>
        <w:rPr>
          <w:rFonts w:hint="eastAsia" w:ascii="宋体" w:hAnsi="宋体" w:eastAsia="仿宋_GB2312" w:cs="仿宋_GB2312"/>
          <w:color w:val="auto"/>
          <w:sz w:val="32"/>
          <w:szCs w:val="32"/>
          <w:u w:val="none"/>
          <w:lang w:val="en-US" w:eastAsia="zh-CN"/>
        </w:rPr>
        <w:t>并优先推荐参加访学进修、技能培训、人才研修班和疗休养活动，参评全国乡村振兴先进个人、全省实施“千村示范引领万村共富工美”工程优秀科技特派员、种粮标兵、优秀“新农人”以及市级劳模等。</w:t>
      </w:r>
      <w:r>
        <w:rPr>
          <w:rFonts w:hint="eastAsia" w:ascii="宋体" w:hAnsi="宋体" w:eastAsia="仿宋_GB2312" w:cs="仿宋_GB2312"/>
          <w:color w:val="auto"/>
          <w:sz w:val="32"/>
          <w:szCs w:val="32"/>
          <w:u w:val="none"/>
        </w:rPr>
        <w:t>〔</w:t>
      </w:r>
      <w:r>
        <w:rPr>
          <w:rFonts w:hint="eastAsia" w:ascii="宋体" w:hAnsi="宋体" w:eastAsia="楷体_GB2312" w:cs="楷体_GB2312"/>
          <w:color w:val="auto"/>
          <w:sz w:val="32"/>
          <w:szCs w:val="32"/>
          <w:u w:val="none"/>
        </w:rPr>
        <w:t>责任单位：</w:t>
      </w:r>
      <w:r>
        <w:rPr>
          <w:rFonts w:hint="eastAsia" w:ascii="宋体" w:hAnsi="宋体" w:eastAsia="楷体_GB2312" w:cs="楷体_GB2312"/>
          <w:color w:val="auto"/>
          <w:sz w:val="32"/>
          <w:szCs w:val="32"/>
          <w:u w:val="none"/>
          <w:lang w:val="en-US" w:eastAsia="zh-CN"/>
        </w:rPr>
        <w:t>市委组织部</w:t>
      </w:r>
      <w:r>
        <w:rPr>
          <w:rFonts w:hint="eastAsia" w:ascii="宋体" w:hAnsi="宋体" w:eastAsia="楷体_GB2312" w:cs="楷体_GB2312"/>
          <w:color w:val="auto"/>
          <w:sz w:val="32"/>
          <w:szCs w:val="32"/>
          <w:u w:val="none"/>
        </w:rPr>
        <w:t>，</w:t>
      </w:r>
      <w:r>
        <w:rPr>
          <w:rFonts w:hint="eastAsia" w:ascii="宋体" w:hAnsi="宋体" w:eastAsia="楷体_GB2312" w:cs="楷体_GB2312"/>
          <w:color w:val="auto"/>
          <w:sz w:val="32"/>
          <w:szCs w:val="32"/>
          <w:u w:val="none"/>
          <w:lang w:val="en-US" w:eastAsia="zh-CN"/>
        </w:rPr>
        <w:t>市科技局、农业农村局、总工会</w:t>
      </w:r>
      <w:r>
        <w:rPr>
          <w:rFonts w:hint="eastAsia" w:ascii="宋体" w:hAnsi="宋体" w:eastAsia="楷体_GB2312" w:cs="楷体_GB2312"/>
          <w:color w:val="auto"/>
          <w:sz w:val="32"/>
          <w:szCs w:val="32"/>
          <w:u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宋体" w:hAnsi="宋体" w:eastAsia="仿宋_GB2312" w:cs="仿宋_GB2312"/>
          <w:color w:val="auto"/>
          <w:sz w:val="32"/>
          <w:szCs w:val="32"/>
          <w:u w:val="none"/>
          <w:lang w:val="en-US" w:eastAsia="zh-CN"/>
        </w:rPr>
      </w:pPr>
      <w:r>
        <w:rPr>
          <w:rFonts w:hint="eastAsia" w:ascii="宋体" w:hAnsi="宋体" w:eastAsia="楷体_GB2312" w:cs="楷体_GB2312"/>
          <w:b/>
          <w:bCs/>
          <w:color w:val="auto"/>
          <w:kern w:val="2"/>
          <w:sz w:val="32"/>
          <w:szCs w:val="32"/>
          <w:u w:val="none"/>
          <w:lang w:val="en-US" w:eastAsia="zh-CN" w:bidi="ar-SA"/>
        </w:rPr>
        <w:t>13.营造浓厚社会氛围。</w:t>
      </w:r>
      <w:r>
        <w:rPr>
          <w:rFonts w:hint="eastAsia" w:ascii="宋体" w:hAnsi="宋体" w:eastAsia="仿宋_GB2312" w:cs="仿宋_GB2312"/>
          <w:color w:val="auto"/>
          <w:sz w:val="32"/>
          <w:szCs w:val="32"/>
          <w:u w:val="none"/>
          <w:lang w:val="en-US" w:eastAsia="zh-CN"/>
        </w:rPr>
        <w:t>打造“明青兴乡”品牌，加强入乡青年创新创业典型选树与宣传，每年向省农业农村厅推荐一批我市典型案例及代表人物，并通过抖音、微信公众号等新媒体矩阵传播青年入乡驻村故事。在高校开展“青春遇见三明”宣讲，组织明籍学子返乡考察，增强情感联结与文化认同。</w:t>
      </w:r>
      <w:r>
        <w:rPr>
          <w:rFonts w:hint="eastAsia" w:ascii="宋体" w:hAnsi="宋体" w:eastAsia="仿宋_GB2312" w:cs="仿宋_GB2312"/>
          <w:color w:val="auto"/>
          <w:sz w:val="32"/>
          <w:szCs w:val="32"/>
          <w:u w:val="none"/>
        </w:rPr>
        <w:t>〔</w:t>
      </w:r>
      <w:r>
        <w:rPr>
          <w:rFonts w:hint="eastAsia" w:ascii="宋体" w:hAnsi="宋体" w:eastAsia="楷体_GB2312" w:cs="楷体_GB2312"/>
          <w:color w:val="auto"/>
          <w:sz w:val="32"/>
          <w:szCs w:val="32"/>
          <w:u w:val="none"/>
        </w:rPr>
        <w:t>责任单位：</w:t>
      </w:r>
      <w:r>
        <w:rPr>
          <w:rFonts w:hint="eastAsia" w:ascii="宋体" w:hAnsi="宋体" w:eastAsia="楷体_GB2312" w:cs="楷体_GB2312"/>
          <w:color w:val="auto"/>
          <w:sz w:val="32"/>
          <w:szCs w:val="32"/>
          <w:u w:val="none"/>
          <w:lang w:val="en-US" w:eastAsia="zh-CN"/>
        </w:rPr>
        <w:t>市农业农村局，市委宣传部</w:t>
      </w:r>
      <w:r>
        <w:rPr>
          <w:rFonts w:hint="eastAsia" w:ascii="宋体" w:hAnsi="宋体" w:eastAsia="楷体_GB2312" w:cs="楷体_GB2312"/>
          <w:color w:val="auto"/>
          <w:sz w:val="32"/>
          <w:szCs w:val="32"/>
          <w:u w:val="none"/>
        </w:rPr>
        <w:t>，</w:t>
      </w:r>
      <w:r>
        <w:rPr>
          <w:rFonts w:hint="eastAsia" w:ascii="宋体" w:hAnsi="宋体" w:eastAsia="楷体_GB2312" w:cs="楷体_GB2312"/>
          <w:color w:val="auto"/>
          <w:sz w:val="32"/>
          <w:szCs w:val="32"/>
          <w:u w:val="none"/>
          <w:lang w:val="en-US" w:eastAsia="zh-CN"/>
        </w:rPr>
        <w:t>市教育局</w:t>
      </w:r>
      <w:r>
        <w:rPr>
          <w:rFonts w:hint="eastAsia" w:ascii="宋体" w:hAnsi="宋体" w:eastAsia="楷体_GB2312" w:cs="楷体_GB2312"/>
          <w:color w:val="auto"/>
          <w:sz w:val="32"/>
          <w:szCs w:val="32"/>
          <w:u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仿宋_GB2312" w:cs="仿宋_GB2312"/>
          <w:color w:val="auto"/>
          <w:kern w:val="2"/>
          <w:sz w:val="32"/>
          <w:szCs w:val="32"/>
          <w:u w:val="none"/>
          <w:lang w:val="en-US" w:eastAsia="zh-CN" w:bidi="ar-SA"/>
        </w:rPr>
      </w:pPr>
      <w:r>
        <w:rPr>
          <w:rFonts w:hint="eastAsia" w:ascii="宋体" w:hAnsi="宋体" w:eastAsia="仿宋_GB2312" w:cs="仿宋_GB2312"/>
          <w:color w:val="auto"/>
          <w:sz w:val="32"/>
          <w:szCs w:val="32"/>
          <w:u w:val="none"/>
          <w:lang w:val="en-US" w:eastAsia="zh-CN"/>
        </w:rPr>
        <w:t>本措施所指的经营主体、电商平台、企事业单位需工商注册、税收上缴、统计关系在三明市内，具有独立法人资格；乡村青年人才需是在各县（市、区）乡村从事农业、休闲农业、农产品加工业、乡村文化和旅游业的生产经营人员，且在三明市内缴纳社保或工资薪金个人所得税。本措施与三明本级同类政策有重复的，按从优、就高、不重复享受的原则执行。市直有关单位和各县（市、区）人民政府按照本措施制定实施细则，并加强政策宣传，提高知晓率和影响力。每个县（市、区）要培育吸引青年人才落地的典型村3个以上。</w:t>
      </w:r>
      <w:r>
        <w:rPr>
          <w:rFonts w:hint="eastAsia" w:ascii="宋体" w:hAnsi="宋体" w:eastAsia="仿宋_GB2312" w:cs="仿宋_GB2312"/>
          <w:color w:val="auto"/>
          <w:kern w:val="2"/>
          <w:sz w:val="32"/>
          <w:szCs w:val="32"/>
          <w:u w:val="none"/>
          <w:lang w:val="en-US" w:eastAsia="zh-CN" w:bidi="ar-SA"/>
        </w:rPr>
        <w:t>本措施由市委农办负责解释，自发布之日起执行，有效期5年。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宋体" w:hAnsi="宋体" w:eastAsia="仿宋_GB2312" w:cs="仿宋_GB2312"/>
          <w:color w:val="auto"/>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宋体" w:hAnsi="宋体" w:eastAsia="仿宋_GB2312" w:cs="仿宋_GB2312"/>
          <w:color w:val="auto"/>
          <w:sz w:val="32"/>
          <w:szCs w:val="32"/>
          <w:u w:val="none"/>
          <w:lang w:val="en-US" w:eastAsia="zh-CN"/>
        </w:rPr>
      </w:pPr>
      <w:bookmarkStart w:id="1" w:name="_GoBack"/>
      <w:bookmarkEnd w:id="1"/>
    </w:p>
    <w:sectPr>
      <w:footerReference r:id="rId3" w:type="default"/>
      <w:pgSz w:w="11906" w:h="16838"/>
      <w:pgMar w:top="1531" w:right="1531" w:bottom="1531"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BF10AD"/>
    <w:rsid w:val="00360E24"/>
    <w:rsid w:val="007F0A1D"/>
    <w:rsid w:val="00D743B5"/>
    <w:rsid w:val="00EC00DA"/>
    <w:rsid w:val="00F9257D"/>
    <w:rsid w:val="01E94F84"/>
    <w:rsid w:val="05B222AB"/>
    <w:rsid w:val="05C332D6"/>
    <w:rsid w:val="069B478E"/>
    <w:rsid w:val="074B214F"/>
    <w:rsid w:val="07FF3D28"/>
    <w:rsid w:val="08A52FEB"/>
    <w:rsid w:val="0972111F"/>
    <w:rsid w:val="09CA314C"/>
    <w:rsid w:val="09FE73F4"/>
    <w:rsid w:val="0ACE7A6C"/>
    <w:rsid w:val="0ADE3FD2"/>
    <w:rsid w:val="0B52745A"/>
    <w:rsid w:val="0CB44EFC"/>
    <w:rsid w:val="0CFC1F46"/>
    <w:rsid w:val="0D1D5845"/>
    <w:rsid w:val="0D2E4C29"/>
    <w:rsid w:val="0D841421"/>
    <w:rsid w:val="0F9067A2"/>
    <w:rsid w:val="10305890"/>
    <w:rsid w:val="106C41F6"/>
    <w:rsid w:val="115F467E"/>
    <w:rsid w:val="1181633F"/>
    <w:rsid w:val="12ED1ADF"/>
    <w:rsid w:val="130F3E82"/>
    <w:rsid w:val="133E10B5"/>
    <w:rsid w:val="14045972"/>
    <w:rsid w:val="14EA6E56"/>
    <w:rsid w:val="16103CC1"/>
    <w:rsid w:val="167F4E7B"/>
    <w:rsid w:val="16A13043"/>
    <w:rsid w:val="16A3500D"/>
    <w:rsid w:val="1844012A"/>
    <w:rsid w:val="18810D0B"/>
    <w:rsid w:val="18C15C1F"/>
    <w:rsid w:val="18D65D11"/>
    <w:rsid w:val="192817FA"/>
    <w:rsid w:val="1A8B2040"/>
    <w:rsid w:val="1AD03EF7"/>
    <w:rsid w:val="1CAF2E53"/>
    <w:rsid w:val="1CC950EA"/>
    <w:rsid w:val="1CE2330A"/>
    <w:rsid w:val="1D266050"/>
    <w:rsid w:val="1D725ADC"/>
    <w:rsid w:val="1D8B370B"/>
    <w:rsid w:val="1DC77D69"/>
    <w:rsid w:val="1E9218CF"/>
    <w:rsid w:val="1F985AB8"/>
    <w:rsid w:val="200C59D1"/>
    <w:rsid w:val="20A54A2D"/>
    <w:rsid w:val="20C53DD2"/>
    <w:rsid w:val="215C3E48"/>
    <w:rsid w:val="21820D0A"/>
    <w:rsid w:val="237717D4"/>
    <w:rsid w:val="23FA2218"/>
    <w:rsid w:val="24CD0651"/>
    <w:rsid w:val="24ED617F"/>
    <w:rsid w:val="25457290"/>
    <w:rsid w:val="25E22D30"/>
    <w:rsid w:val="27581B51"/>
    <w:rsid w:val="27651E6B"/>
    <w:rsid w:val="27960276"/>
    <w:rsid w:val="2AA61137"/>
    <w:rsid w:val="2C3D1144"/>
    <w:rsid w:val="2C4B79EC"/>
    <w:rsid w:val="2F4371E0"/>
    <w:rsid w:val="2FBA57F4"/>
    <w:rsid w:val="2FFF1AEB"/>
    <w:rsid w:val="300E4DF0"/>
    <w:rsid w:val="30A4205C"/>
    <w:rsid w:val="30B0230D"/>
    <w:rsid w:val="319E43E2"/>
    <w:rsid w:val="33240E2C"/>
    <w:rsid w:val="33BE0DD6"/>
    <w:rsid w:val="35492921"/>
    <w:rsid w:val="357D1E94"/>
    <w:rsid w:val="36AE1139"/>
    <w:rsid w:val="37887BDC"/>
    <w:rsid w:val="381850A7"/>
    <w:rsid w:val="3A294660"/>
    <w:rsid w:val="3B4E12A3"/>
    <w:rsid w:val="3C0417FB"/>
    <w:rsid w:val="3C7E15AD"/>
    <w:rsid w:val="3C853F56"/>
    <w:rsid w:val="3CFF7A65"/>
    <w:rsid w:val="3D1D426D"/>
    <w:rsid w:val="3DC73A2A"/>
    <w:rsid w:val="3E287A22"/>
    <w:rsid w:val="3F081650"/>
    <w:rsid w:val="3F0B4C4E"/>
    <w:rsid w:val="3FD7025F"/>
    <w:rsid w:val="40A7317B"/>
    <w:rsid w:val="41A3330C"/>
    <w:rsid w:val="41BF3450"/>
    <w:rsid w:val="41C4007D"/>
    <w:rsid w:val="430D2370"/>
    <w:rsid w:val="437E1E93"/>
    <w:rsid w:val="43843AC7"/>
    <w:rsid w:val="439D4A0F"/>
    <w:rsid w:val="43AD04A2"/>
    <w:rsid w:val="44A11D8F"/>
    <w:rsid w:val="44A8366B"/>
    <w:rsid w:val="45590ECF"/>
    <w:rsid w:val="45800144"/>
    <w:rsid w:val="46682D0C"/>
    <w:rsid w:val="46FC7C9E"/>
    <w:rsid w:val="475F23A9"/>
    <w:rsid w:val="476E221E"/>
    <w:rsid w:val="487504FD"/>
    <w:rsid w:val="49C10D2B"/>
    <w:rsid w:val="49E625FD"/>
    <w:rsid w:val="4AF9657D"/>
    <w:rsid w:val="4B83098E"/>
    <w:rsid w:val="4BBF10AD"/>
    <w:rsid w:val="4C1930A0"/>
    <w:rsid w:val="4C231829"/>
    <w:rsid w:val="4C333A75"/>
    <w:rsid w:val="4D445EFB"/>
    <w:rsid w:val="4E810A89"/>
    <w:rsid w:val="4EBC7D13"/>
    <w:rsid w:val="4ED908C5"/>
    <w:rsid w:val="4F4D50CB"/>
    <w:rsid w:val="4F6A776F"/>
    <w:rsid w:val="4F9071D6"/>
    <w:rsid w:val="4FA33596"/>
    <w:rsid w:val="50595EEB"/>
    <w:rsid w:val="510936E3"/>
    <w:rsid w:val="520143BB"/>
    <w:rsid w:val="521F2A93"/>
    <w:rsid w:val="522378D0"/>
    <w:rsid w:val="529B0DBF"/>
    <w:rsid w:val="52B92EE7"/>
    <w:rsid w:val="538452A3"/>
    <w:rsid w:val="53D9412D"/>
    <w:rsid w:val="565E4C06"/>
    <w:rsid w:val="56AB0D99"/>
    <w:rsid w:val="57D61E46"/>
    <w:rsid w:val="58BA3515"/>
    <w:rsid w:val="5932754F"/>
    <w:rsid w:val="595C45CC"/>
    <w:rsid w:val="59643A06"/>
    <w:rsid w:val="59DB1995"/>
    <w:rsid w:val="59EA607C"/>
    <w:rsid w:val="59EC02F3"/>
    <w:rsid w:val="5A865DA5"/>
    <w:rsid w:val="5AC4067B"/>
    <w:rsid w:val="5B496523"/>
    <w:rsid w:val="5B834092"/>
    <w:rsid w:val="5E56637D"/>
    <w:rsid w:val="5EE17A4E"/>
    <w:rsid w:val="5EED76C4"/>
    <w:rsid w:val="5F9A46EA"/>
    <w:rsid w:val="600A6B30"/>
    <w:rsid w:val="60B66CB8"/>
    <w:rsid w:val="618446C0"/>
    <w:rsid w:val="6316215F"/>
    <w:rsid w:val="633A3BD0"/>
    <w:rsid w:val="63D61AC1"/>
    <w:rsid w:val="63E87188"/>
    <w:rsid w:val="6445282D"/>
    <w:rsid w:val="64B50418"/>
    <w:rsid w:val="65056688"/>
    <w:rsid w:val="677D286E"/>
    <w:rsid w:val="679F6A27"/>
    <w:rsid w:val="67E45CF4"/>
    <w:rsid w:val="685E07C6"/>
    <w:rsid w:val="6870599E"/>
    <w:rsid w:val="68CA50AF"/>
    <w:rsid w:val="69192872"/>
    <w:rsid w:val="695E1C9B"/>
    <w:rsid w:val="69B63885"/>
    <w:rsid w:val="6A0E546F"/>
    <w:rsid w:val="6A8D61FE"/>
    <w:rsid w:val="6BE96194"/>
    <w:rsid w:val="6C511B60"/>
    <w:rsid w:val="6D8E6720"/>
    <w:rsid w:val="6E1933BF"/>
    <w:rsid w:val="6E3C126C"/>
    <w:rsid w:val="6E94201A"/>
    <w:rsid w:val="6F3B330F"/>
    <w:rsid w:val="6FA4133D"/>
    <w:rsid w:val="700877AC"/>
    <w:rsid w:val="703A5C4B"/>
    <w:rsid w:val="72062ED0"/>
    <w:rsid w:val="728C1845"/>
    <w:rsid w:val="72BD08DB"/>
    <w:rsid w:val="732B407C"/>
    <w:rsid w:val="73B9644B"/>
    <w:rsid w:val="73F65F16"/>
    <w:rsid w:val="75263FB5"/>
    <w:rsid w:val="75E4177A"/>
    <w:rsid w:val="75ED4AD2"/>
    <w:rsid w:val="77B37656"/>
    <w:rsid w:val="7851759A"/>
    <w:rsid w:val="785E73E8"/>
    <w:rsid w:val="786372CE"/>
    <w:rsid w:val="78A064A8"/>
    <w:rsid w:val="78CC1D11"/>
    <w:rsid w:val="79082749"/>
    <w:rsid w:val="7A1173D2"/>
    <w:rsid w:val="7B0B276E"/>
    <w:rsid w:val="7B22521E"/>
    <w:rsid w:val="7B292109"/>
    <w:rsid w:val="7B3B1E3C"/>
    <w:rsid w:val="7D656931"/>
    <w:rsid w:val="7DA01CDD"/>
    <w:rsid w:val="7DF74740"/>
    <w:rsid w:val="7E0B1F99"/>
    <w:rsid w:val="7ECC0934"/>
    <w:rsid w:val="7F187D6F"/>
    <w:rsid w:val="7F6851CA"/>
    <w:rsid w:val="7F713F9C"/>
    <w:rsid w:val="7FF41C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qFormat/>
    <w:uiPriority w:val="99"/>
    <w:pPr>
      <w:keepNext/>
      <w:keepLines/>
      <w:spacing w:before="260" w:after="260" w:line="415" w:lineRule="auto"/>
      <w:outlineLvl w:val="2"/>
    </w:pPr>
    <w:rPr>
      <w:b/>
      <w:bCs/>
      <w:sz w:val="32"/>
      <w:szCs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Normal Indent"/>
    <w:basedOn w:val="1"/>
    <w:next w:val="1"/>
    <w:unhideWhenUsed/>
    <w:qFormat/>
    <w:uiPriority w:val="99"/>
  </w:style>
  <w:style w:type="paragraph" w:styleId="4">
    <w:name w:val="Body Text"/>
    <w:basedOn w:val="1"/>
    <w:next w:val="5"/>
    <w:qFormat/>
    <w:uiPriority w:val="99"/>
    <w:pPr>
      <w:spacing w:after="120"/>
    </w:pPr>
  </w:style>
  <w:style w:type="paragraph" w:styleId="5">
    <w:name w:val="Body Text First Indent"/>
    <w:basedOn w:val="4"/>
    <w:qFormat/>
    <w:uiPriority w:val="99"/>
    <w:pPr>
      <w:ind w:firstLine="420" w:firstLineChars="100"/>
    </w:pPr>
    <w:rPr>
      <w:rFonts w:ascii="Times New Roman" w:hAnsi="Times New Roman" w:cs="Times New Roman"/>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10">
    <w:name w:val="UserStyle_9 Char"/>
    <w:basedOn w:val="9"/>
    <w:link w:val="11"/>
    <w:qFormat/>
    <w:uiPriority w:val="0"/>
    <w:rPr>
      <w:rFonts w:eastAsia="宋体"/>
      <w:kern w:val="0"/>
      <w:sz w:val="20"/>
    </w:rPr>
  </w:style>
  <w:style w:type="paragraph" w:customStyle="1" w:styleId="11">
    <w:name w:val="UserStyle_9"/>
    <w:basedOn w:val="1"/>
    <w:link w:val="10"/>
    <w:qFormat/>
    <w:uiPriority w:val="0"/>
    <w:pPr>
      <w:widowControl/>
    </w:pPr>
    <w:rPr>
      <w:rFonts w:eastAsia="宋体"/>
      <w:kern w:val="0"/>
      <w:sz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中共佛山市委员会办公室</Company>
  <Pages>8</Pages>
  <Words>276</Words>
  <Characters>289</Characters>
  <Lines>0</Lines>
  <Paragraphs>0</Paragraphs>
  <TotalTime>100</TotalTime>
  <ScaleCrop>false</ScaleCrop>
  <LinksUpToDate>false</LinksUpToDate>
  <CharactersWithSpaces>289</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2025-08-14T07:58:00Z</dcterms:created>
  <dc:creator>lenovo</dc:creator>
  <cp:lastModifiedBy>lenovo</cp:lastModifiedBy>
  <cp:lastPrinted>2025-08-19T07:04:00Z</cp:lastPrinted>
  <dcterms:modified xsi:type="dcterms:W3CDTF">2025-08-21T07:34:48Z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DF546CF1F1CB44C89061F04F2C3CDED0</vt:lpwstr>
  </property>
  <property fmtid="{D5CDD505-2E9C-101B-9397-08002B2CF9AE}" pid="4" name="KSOTemplateDocerSaveRecord">
    <vt:lpwstr>eyJoZGlkIjoiYjViZjBiY2FjMjk0NmY1YWY4NmQzMmEwM2UzYzNiYTIiLCJ1c2VySWQiOiIyNDkzMzA3MzQifQ==</vt:lpwstr>
  </property>
</Properties>
</file>