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color w:val="auto"/>
          <w:sz w:val="44"/>
          <w:szCs w:val="44"/>
        </w:rPr>
        <w:t>进一步</w:t>
      </w:r>
      <w:r>
        <w:rPr>
          <w:rFonts w:hint="eastAsia" w:ascii="方正小标宋简体" w:hAnsi="方正小标宋简体" w:eastAsia="方正小标宋简体" w:cs="方正小标宋简体"/>
          <w:color w:val="auto"/>
          <w:sz w:val="44"/>
          <w:szCs w:val="44"/>
          <w:lang w:val="en-US" w:eastAsia="zh-CN"/>
        </w:rPr>
        <w:t>完善农村产权交易体制机制</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推进“全资源、全要素”</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进场交易的实施意见</w:t>
      </w:r>
      <w:bookmarkEnd w:id="0"/>
      <w:r>
        <w:rPr>
          <w:rFonts w:hint="eastAsia" w:ascii="方正小标宋简体" w:hAnsi="方正小标宋简体" w:eastAsia="方正小标宋简体" w:cs="方正小标宋简体"/>
          <w:color w:val="auto"/>
          <w:sz w:val="44"/>
          <w:szCs w:val="44"/>
          <w:lang w:val="en-US" w:eastAsia="zh-CN"/>
        </w:rPr>
        <w:br w:type="textWrapping"/>
      </w:r>
      <w:r>
        <w:rPr>
          <w:rFonts w:hint="eastAsia" w:ascii="楷体_GB2312" w:hAnsi="楷体_GB2312" w:eastAsia="楷体_GB2312" w:cs="楷体_GB2312"/>
          <w:color w:val="auto"/>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楷体_GB2312" w:hAnsi="楷体_GB2312" w:eastAsia="楷体_GB2312" w:cs="楷体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贯彻落实中央、省、市关于畅通城乡要素流动的部署要求，持续深化农村集体产权制度改革，规范农村产权流转交易行为，提高农村要素资源配置和利用效率，加快我市农村产权流转交易融入全国统一大市场，提出如下实施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rPr>
        <w:t>一、</w:t>
      </w:r>
      <w:r>
        <w:rPr>
          <w:rFonts w:hint="eastAsia" w:ascii="黑体" w:hAnsi="黑体" w:eastAsia="黑体" w:cs="黑体"/>
          <w:color w:val="auto"/>
          <w:spacing w:val="0"/>
          <w:sz w:val="32"/>
          <w:szCs w:val="32"/>
          <w:lang w:val="en-US" w:eastAsia="zh-CN"/>
        </w:rPr>
        <w:t>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运用我市全国农村产权流转交易规范化整市试点成果，充分发挥市场在资源配置中的决定性作用，争取通过2年的努力，构建形成“全域覆盖、要素集聚、数字赋能、服务多元、规范高效”的农村产权交易市场体系，实现农村产权“应进必进、阳光交易”。在法律和相关政策没有限制的范围内，扩大农村产权交易目录，建立符合三明实际的“产权+生态”联动机制，打通生态产品价值实现通道，为我市乡村全面振兴与现代农业高质量发展提供有力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kern w:val="2"/>
          <w:sz w:val="32"/>
          <w:szCs w:val="32"/>
          <w:lang w:val="en-US" w:eastAsia="zh-CN" w:bidi="ar-SA"/>
        </w:rPr>
        <w:t>二、主要</w:t>
      </w:r>
      <w:r>
        <w:rPr>
          <w:rFonts w:hint="eastAsia" w:ascii="黑体" w:hAnsi="黑体" w:eastAsia="黑体" w:cs="黑体"/>
          <w:color w:val="auto"/>
          <w:spacing w:val="0"/>
          <w:sz w:val="32"/>
          <w:szCs w:val="32"/>
          <w:lang w:val="en-US" w:eastAsia="zh-CN"/>
        </w:rPr>
        <w:t>任务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FF0000"/>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（一）健全完善流转交易服务体系</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z w:val="32"/>
          <w:szCs w:val="32"/>
          <w:lang w:val="en-US" w:eastAsia="zh-CN"/>
        </w:rPr>
        <w:t>1.加快建设全市“大平台”。</w:t>
      </w:r>
      <w:r>
        <w:rPr>
          <w:rFonts w:hint="eastAsia" w:ascii="仿宋_GB2312" w:hAnsi="仿宋_GB2312" w:eastAsia="仿宋_GB2312" w:cs="仿宋_GB2312"/>
          <w:color w:val="auto"/>
          <w:spacing w:val="0"/>
          <w:sz w:val="32"/>
          <w:szCs w:val="32"/>
          <w:lang w:val="en-US" w:eastAsia="zh-CN"/>
        </w:rPr>
        <w:t>持续健全完善市县乡村四级联动农村产权流转交易服务体系，明确“全市一个交易系统、市县二级服务构架、镇村一体协同推广”的功能定位。深化“四级”服务体系，配齐专职工作人员，明晰各级职能权限，落实分级操作管理机制，同时强化对农村产权交易相关单位与工作人员的考核激励措施，保障四级体系协同联动，高效运转，打造形成集信息发布、政策咨询和组织交易等功能为一体的“一站式”农村产权交易服务“大平台”。</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2.持续探索生态价值转化路径。</w:t>
      </w:r>
      <w:r>
        <w:rPr>
          <w:rFonts w:hint="eastAsia" w:ascii="仿宋_GB2312" w:hAnsi="仿宋_GB2312" w:eastAsia="仿宋_GB2312" w:cs="仿宋_GB2312"/>
          <w:color w:val="auto"/>
          <w:spacing w:val="0"/>
          <w:sz w:val="32"/>
          <w:szCs w:val="32"/>
          <w:lang w:val="en-US" w:eastAsia="zh-CN"/>
        </w:rPr>
        <w:t>探索推动生态核算结果在资源要素资产产权交易、生态产业开发经营、生态资源权益交易、生态碳汇交易、绿色金融支持等领域的应用，通过“确权－监测－核算－评估－定价－交易”，持续做大林票、碳票交易规模。加大生态系统碳汇资源开发，拓宽碳汇市场化交易路径，形成更多的可交易、可抵押的生态产品包，实现“绿水青山”可定价、可流通、可增值，促进“两山”转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（二）优化统筹农村产权资源要素交易</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1.深化</w:t>
      </w:r>
      <w:r>
        <w:rPr>
          <w:rFonts w:hint="eastAsia" w:ascii="仿宋_GB2312" w:hAnsi="仿宋_GB2312" w:eastAsia="仿宋_GB2312" w:cs="仿宋_GB2312"/>
          <w:b/>
          <w:bCs/>
          <w:color w:val="auto"/>
          <w:sz w:val="32"/>
          <w:szCs w:val="32"/>
        </w:rPr>
        <w:t>农户承包土地经营权</w:t>
      </w:r>
      <w:r>
        <w:rPr>
          <w:rFonts w:hint="eastAsia" w:ascii="仿宋_GB2312" w:hAnsi="仿宋_GB2312" w:eastAsia="仿宋_GB2312" w:cs="仿宋_GB2312"/>
          <w:b/>
          <w:bCs/>
          <w:color w:val="auto"/>
          <w:sz w:val="32"/>
          <w:szCs w:val="32"/>
          <w:lang w:eastAsia="zh-CN"/>
        </w:rPr>
        <w:t>流转。</w:t>
      </w:r>
      <w:r>
        <w:rPr>
          <w:rFonts w:hint="eastAsia" w:ascii="仿宋_GB2312" w:hAnsi="仿宋_GB2312" w:eastAsia="仿宋_GB2312" w:cs="仿宋_GB2312"/>
          <w:b w:val="0"/>
          <w:bCs w:val="0"/>
          <w:color w:val="auto"/>
          <w:spacing w:val="0"/>
          <w:sz w:val="32"/>
          <w:szCs w:val="32"/>
          <w:lang w:val="en-US" w:eastAsia="zh-CN"/>
        </w:rPr>
        <w:t>积极引导烟叶基地、制种基地，以</w:t>
      </w:r>
      <w:r>
        <w:rPr>
          <w:rFonts w:hint="eastAsia" w:ascii="仿宋_GB2312" w:hAnsi="仿宋_GB2312" w:eastAsia="仿宋_GB2312" w:cs="仿宋_GB2312"/>
          <w:color w:val="auto"/>
          <w:spacing w:val="0"/>
          <w:sz w:val="32"/>
          <w:szCs w:val="32"/>
          <w:lang w:val="en-US" w:eastAsia="zh-CN"/>
        </w:rPr>
        <w:t>及企业、农民合作社和家庭农场等经营主体，通过农村产权交易平台公开流转土地，</w:t>
      </w:r>
      <w:r>
        <w:rPr>
          <w:rFonts w:hint="eastAsia" w:ascii="仿宋_GB2312" w:hAnsi="仿宋_GB2312" w:eastAsia="仿宋_GB2312" w:cs="仿宋_GB2312"/>
          <w:b w:val="0"/>
          <w:bCs w:val="0"/>
          <w:color w:val="auto"/>
          <w:spacing w:val="0"/>
          <w:sz w:val="32"/>
          <w:szCs w:val="32"/>
          <w:lang w:val="en-US" w:eastAsia="zh-CN"/>
        </w:rPr>
        <w:t>实现农村土地经营权流转规模化、集约化、高效化。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z w:val="32"/>
          <w:szCs w:val="32"/>
          <w:lang w:val="en-US" w:eastAsia="zh-CN"/>
        </w:rPr>
        <w:t>2.积极引导村集体工程建设项目规范交易。</w:t>
      </w:r>
      <w:r>
        <w:rPr>
          <w:rFonts w:hint="eastAsia" w:ascii="仿宋_GB2312" w:hAnsi="仿宋_GB2312" w:eastAsia="仿宋_GB2312" w:cs="仿宋_GB2312"/>
          <w:color w:val="auto"/>
          <w:spacing w:val="0"/>
          <w:sz w:val="32"/>
          <w:szCs w:val="32"/>
          <w:lang w:val="en-US" w:eastAsia="zh-CN"/>
        </w:rPr>
        <w:t>结合省内外先进地区相关做法，大力推进农村工程建设项目招标进入农村产权交易平台公开挂牌交易。加快完善相关进场交易路径，研究出台配套制度文件，探索农村工程建设项目招标电子反向竞价等适合农村基层的创新做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3.强化农村集体资产交易数据支撑。</w:t>
      </w:r>
      <w:r>
        <w:rPr>
          <w:rFonts w:hint="eastAsia" w:ascii="仿宋_GB2312" w:hAnsi="仿宋_GB2312" w:eastAsia="仿宋_GB2312" w:cs="仿宋_GB2312"/>
          <w:color w:val="auto"/>
          <w:spacing w:val="0"/>
          <w:sz w:val="32"/>
          <w:szCs w:val="32"/>
          <w:lang w:val="en-US" w:eastAsia="zh-CN"/>
        </w:rPr>
        <w:t>依托省级农村集体资产监督管理平台，试点开展农村集体资产资源卡片式管理，逐步建立农村集体资产资源数据库，对各类集体资产资源实行线上规范化管理。持续推进现行有效的集体经济合同信息录入村级合同管理系统，推动到期合同标的进入农村产权流转交易市场公开交易，防止暗箱操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（三）探索推进全资源、全要素进场交易</w:t>
      </w:r>
    </w:p>
    <w:p>
      <w:pPr>
        <w:keepNext w:val="0"/>
        <w:keepLines w:val="0"/>
        <w:widowControl w:val="0"/>
        <w:suppressLineNumbers w:val="0"/>
        <w:spacing w:line="580" w:lineRule="exact"/>
        <w:ind w:firstLine="643" w:firstLineChars="200"/>
        <w:jc w:val="left"/>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z w:val="32"/>
          <w:szCs w:val="32"/>
          <w:lang w:val="en-US" w:eastAsia="zh-CN"/>
        </w:rPr>
        <w:t>1.全面落实农村集体资产资源“应进必进”。</w:t>
      </w:r>
      <w:r>
        <w:rPr>
          <w:rFonts w:hint="eastAsia" w:ascii="仿宋_GB2312" w:hAnsi="仿宋_GB2312" w:eastAsia="仿宋_GB2312" w:cs="仿宋_GB2312"/>
          <w:color w:val="auto"/>
          <w:spacing w:val="0"/>
          <w:sz w:val="32"/>
          <w:szCs w:val="32"/>
          <w:lang w:val="en-US" w:eastAsia="zh-CN"/>
        </w:rPr>
        <w:t>贯彻落实《关于推进农村产权流转交易规范化整市试点工作的通知》（明政办规〔2024〕3号）精神，</w:t>
      </w:r>
      <w:r>
        <w:rPr>
          <w:rFonts w:hint="eastAsia" w:ascii="仿宋_GB2312" w:hAnsi="仿宋_GB2312" w:eastAsia="仿宋_GB2312" w:cs="仿宋_GB2312"/>
          <w:color w:val="auto"/>
          <w:spacing w:val="0"/>
          <w:sz w:val="32"/>
          <w:szCs w:val="32"/>
        </w:rPr>
        <w:t>全面落实集体资产资源“应进必进、阳光交易”，标的额</w:t>
      </w:r>
      <w:r>
        <w:rPr>
          <w:rFonts w:hint="eastAsia" w:ascii="仿宋_GB2312" w:hAnsi="仿宋_GB2312" w:eastAsia="仿宋_GB2312" w:cs="仿宋_GB2312"/>
          <w:color w:val="auto"/>
          <w:spacing w:val="0"/>
          <w:sz w:val="32"/>
          <w:szCs w:val="32"/>
          <w:lang w:val="en-US" w:eastAsia="zh-CN"/>
        </w:rPr>
        <w:t>10万元</w:t>
      </w:r>
      <w:r>
        <w:rPr>
          <w:rFonts w:hint="eastAsia" w:ascii="仿宋_GB2312" w:hAnsi="仿宋_GB2312" w:eastAsia="仿宋_GB2312" w:cs="仿宋_GB2312"/>
          <w:color w:val="auto"/>
          <w:spacing w:val="0"/>
          <w:sz w:val="32"/>
          <w:szCs w:val="32"/>
        </w:rPr>
        <w:t>以上的农村集体产权流转，必须进入农村产权</w:t>
      </w:r>
      <w:r>
        <w:rPr>
          <w:rFonts w:hint="eastAsia" w:ascii="仿宋_GB2312" w:hAnsi="仿宋_GB2312" w:eastAsia="仿宋_GB2312" w:cs="仿宋_GB2312"/>
          <w:color w:val="auto"/>
          <w:spacing w:val="0"/>
          <w:sz w:val="32"/>
          <w:szCs w:val="32"/>
          <w:lang w:eastAsia="zh-CN"/>
        </w:rPr>
        <w:t>流转</w:t>
      </w:r>
      <w:r>
        <w:rPr>
          <w:rFonts w:hint="eastAsia" w:ascii="仿宋_GB2312" w:hAnsi="仿宋_GB2312" w:eastAsia="仿宋_GB2312" w:cs="仿宋_GB2312"/>
          <w:color w:val="auto"/>
          <w:spacing w:val="0"/>
          <w:sz w:val="32"/>
          <w:szCs w:val="32"/>
        </w:rPr>
        <w:t>交易市场公开交易。</w:t>
      </w:r>
      <w:r>
        <w:rPr>
          <w:rFonts w:hint="eastAsia" w:ascii="仿宋_GB2312" w:hAnsi="仿宋_GB2312" w:eastAsia="仿宋_GB2312" w:cs="仿宋_GB2312"/>
          <w:color w:val="auto"/>
          <w:spacing w:val="0"/>
          <w:sz w:val="32"/>
          <w:szCs w:val="32"/>
          <w:lang w:val="en-US" w:eastAsia="zh-CN"/>
        </w:rPr>
        <w:t>对于限额以下的农村集体资产流转交易，由县（市、区）依规自行组织实施。</w:t>
      </w:r>
    </w:p>
    <w:p>
      <w:pPr>
        <w:keepNext w:val="0"/>
        <w:keepLines w:val="0"/>
        <w:widowControl w:val="0"/>
        <w:suppressLineNumbers w:val="0"/>
        <w:spacing w:line="580" w:lineRule="exact"/>
        <w:ind w:firstLine="643" w:firstLineChars="200"/>
        <w:jc w:val="left"/>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z w:val="32"/>
          <w:szCs w:val="32"/>
          <w:lang w:val="en-US" w:eastAsia="zh-CN"/>
        </w:rPr>
        <w:t>2.推动法律没有限制的品种“能进则进”。</w:t>
      </w:r>
      <w:r>
        <w:rPr>
          <w:rFonts w:hint="eastAsia" w:ascii="仿宋_GB2312" w:hAnsi="仿宋_GB2312" w:eastAsia="仿宋_GB2312" w:cs="仿宋_GB2312"/>
          <w:color w:val="auto"/>
          <w:spacing w:val="0"/>
          <w:sz w:val="32"/>
          <w:szCs w:val="32"/>
          <w:lang w:val="en-US" w:eastAsia="zh-CN"/>
        </w:rPr>
        <w:t>在现有交易品种基础上，支持开展更多交易品种探索，推动法律没有限制的品种入场流转交易，积极引导纳入《三明市“全资源、全要素”流转交易目录》（见附件）的资源要素进入农村产权流转交易市场公开交易，实现各类资产资源有序流转、保值增值。在确定入场交易品种时，应当制定统一的流转交易规则，并经过本级农村产权流转交易监督管理工作局际联席会议（农村产权流转交易监督管理委员会）同意后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w:t>
      </w:r>
      <w:r>
        <w:rPr>
          <w:rFonts w:hint="eastAsia" w:ascii="黑体" w:hAnsi="黑体" w:eastAsia="黑体" w:cs="黑体"/>
          <w:spacing w:val="0"/>
          <w:sz w:val="32"/>
          <w:szCs w:val="32"/>
        </w:rPr>
        <w:t>、</w:t>
      </w:r>
      <w:r>
        <w:rPr>
          <w:rFonts w:hint="eastAsia" w:ascii="黑体" w:hAnsi="黑体" w:eastAsia="黑体" w:cs="黑体"/>
          <w:spacing w:val="0"/>
          <w:sz w:val="32"/>
          <w:szCs w:val="32"/>
          <w:lang w:val="en-US" w:eastAsia="zh-CN"/>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（一）加强组织领导。</w:t>
      </w:r>
      <w:r>
        <w:rPr>
          <w:rFonts w:hint="eastAsia" w:ascii="仿宋_GB2312" w:hAnsi="仿宋_GB2312" w:eastAsia="仿宋_GB2312" w:cs="仿宋_GB2312"/>
          <w:spacing w:val="0"/>
          <w:sz w:val="32"/>
          <w:szCs w:val="32"/>
          <w:lang w:val="en-US" w:eastAsia="zh-CN"/>
        </w:rPr>
        <w:t>各县（市、区）和市县有关部门要持续加大改革探索力度，完善农村产权交易体制机制，推动农村产权流转交易市场高质量发展。县级农村产权流转交易监督管理委员会要切实发挥统筹协调作用</w:t>
      </w:r>
      <w:r>
        <w:rPr>
          <w:rFonts w:hint="eastAsia" w:ascii="仿宋_GB2312" w:hAnsi="仿宋_GB2312" w:eastAsia="仿宋_GB2312" w:cs="仿宋_GB2312"/>
          <w:color w:val="auto"/>
          <w:spacing w:val="0"/>
          <w:sz w:val="32"/>
          <w:szCs w:val="32"/>
          <w:lang w:val="en-US" w:eastAsia="zh-CN"/>
        </w:rPr>
        <w:t>，加强对市场运行的指导调度，及时研究解决市场建设中的难点堵点问题，督促相关职能部门履行风险防范、监督管理等工作职责。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楷体_GB2312" w:hAnsi="楷体_GB2312" w:eastAsia="楷体_GB2312" w:cs="楷体_GB2312"/>
          <w:b/>
          <w:bCs/>
          <w:color w:val="auto"/>
          <w:spacing w:val="0"/>
          <w:sz w:val="32"/>
          <w:szCs w:val="32"/>
          <w:lang w:val="en-US" w:eastAsia="zh-CN"/>
        </w:rPr>
        <w:t>（二）加强协同联动。</w:t>
      </w:r>
      <w:r>
        <w:rPr>
          <w:rFonts w:hint="eastAsia" w:ascii="仿宋_GB2312" w:hAnsi="仿宋_GB2312" w:eastAsia="仿宋_GB2312" w:cs="仿宋_GB2312"/>
          <w:color w:val="auto"/>
          <w:spacing w:val="0"/>
          <w:kern w:val="2"/>
          <w:sz w:val="32"/>
          <w:szCs w:val="32"/>
          <w:lang w:val="en-US" w:eastAsia="zh-CN" w:bidi="ar-SA"/>
        </w:rPr>
        <w:t>各县（市、区）和市县有关部门要牢固</w:t>
      </w:r>
      <w:r>
        <w:rPr>
          <w:rFonts w:hint="default" w:ascii="仿宋_GB2312" w:hAnsi="仿宋_GB2312" w:eastAsia="仿宋_GB2312" w:cs="仿宋_GB2312"/>
          <w:color w:val="auto"/>
          <w:spacing w:val="0"/>
          <w:kern w:val="2"/>
          <w:sz w:val="32"/>
          <w:szCs w:val="32"/>
          <w:lang w:val="en-US" w:eastAsia="zh-CN" w:bidi="ar-SA"/>
        </w:rPr>
        <w:t>树立</w:t>
      </w:r>
      <w:r>
        <w:rPr>
          <w:rFonts w:hint="eastAsia" w:ascii="仿宋_GB2312" w:hAnsi="仿宋_GB2312" w:eastAsia="仿宋_GB2312" w:cs="仿宋_GB2312"/>
          <w:color w:val="auto"/>
          <w:spacing w:val="0"/>
          <w:kern w:val="2"/>
          <w:sz w:val="32"/>
          <w:szCs w:val="32"/>
          <w:lang w:val="en-US" w:eastAsia="zh-CN" w:bidi="ar-SA"/>
        </w:rPr>
        <w:t>全市</w:t>
      </w:r>
      <w:r>
        <w:rPr>
          <w:rFonts w:hint="default" w:ascii="仿宋_GB2312" w:hAnsi="仿宋_GB2312" w:eastAsia="仿宋_GB2312" w:cs="仿宋_GB2312"/>
          <w:color w:val="auto"/>
          <w:spacing w:val="0"/>
          <w:kern w:val="2"/>
          <w:sz w:val="32"/>
          <w:szCs w:val="32"/>
          <w:lang w:val="en-US" w:eastAsia="zh-CN" w:bidi="ar-SA"/>
        </w:rPr>
        <w:t>“一盘棋”思想，</w:t>
      </w:r>
      <w:r>
        <w:rPr>
          <w:rFonts w:hint="eastAsia" w:ascii="仿宋_GB2312" w:hAnsi="仿宋_GB2312" w:eastAsia="仿宋_GB2312" w:cs="仿宋_GB2312"/>
          <w:color w:val="auto"/>
          <w:spacing w:val="0"/>
          <w:kern w:val="2"/>
          <w:sz w:val="32"/>
          <w:szCs w:val="32"/>
          <w:lang w:val="en-US" w:eastAsia="zh-CN" w:bidi="ar-SA"/>
        </w:rPr>
        <w:t>严格落实工作责任，强化跨部门协同联动。要指导建立健全农村产权流转交易监管体系和行业自律机制，督促落实各类农村产权交易管理制度，强化对“应进必进、阳光交易”的监督落实，合力推动农村产权流转交易市场规范化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pacing w:val="0"/>
          <w:sz w:val="32"/>
          <w:szCs w:val="32"/>
          <w:lang w:eastAsia="zh-CN"/>
        </w:rPr>
      </w:pPr>
      <w:r>
        <w:rPr>
          <w:rFonts w:hint="eastAsia" w:ascii="楷体_GB2312" w:hAnsi="楷体_GB2312" w:eastAsia="楷体_GB2312" w:cs="楷体_GB2312"/>
          <w:b/>
          <w:bCs/>
          <w:color w:val="auto"/>
          <w:spacing w:val="0"/>
          <w:sz w:val="32"/>
          <w:szCs w:val="32"/>
          <w:lang w:val="en-US" w:eastAsia="zh-CN"/>
        </w:rPr>
        <w:t>（三）加强宣传总结。</w:t>
      </w:r>
      <w:r>
        <w:rPr>
          <w:rFonts w:hint="eastAsia" w:ascii="仿宋_GB2312" w:hAnsi="仿宋_GB2312" w:eastAsia="仿宋_GB2312" w:cs="仿宋_GB2312"/>
          <w:color w:val="auto"/>
          <w:spacing w:val="0"/>
          <w:sz w:val="32"/>
          <w:szCs w:val="32"/>
          <w:lang w:val="en-US" w:eastAsia="zh-CN"/>
        </w:rPr>
        <w:t>统筹各类</w:t>
      </w:r>
      <w:r>
        <w:rPr>
          <w:rFonts w:hint="eastAsia" w:ascii="仿宋_GB2312" w:hAnsi="仿宋_GB2312" w:eastAsia="仿宋_GB2312" w:cs="仿宋_GB2312"/>
          <w:color w:val="auto"/>
          <w:spacing w:val="0"/>
          <w:sz w:val="32"/>
          <w:szCs w:val="32"/>
        </w:rPr>
        <w:t>媒体宣传矩阵，加</w:t>
      </w:r>
      <w:r>
        <w:rPr>
          <w:rFonts w:hint="eastAsia" w:ascii="仿宋_GB2312" w:hAnsi="仿宋_GB2312" w:eastAsia="仿宋_GB2312" w:cs="仿宋_GB2312"/>
          <w:color w:val="auto"/>
          <w:spacing w:val="0"/>
          <w:sz w:val="32"/>
          <w:szCs w:val="32"/>
          <w:lang w:val="en-US" w:eastAsia="zh-CN"/>
        </w:rPr>
        <w:t>大</w:t>
      </w:r>
      <w:r>
        <w:rPr>
          <w:rFonts w:hint="eastAsia" w:ascii="仿宋_GB2312" w:hAnsi="仿宋_GB2312" w:eastAsia="仿宋_GB2312" w:cs="仿宋_GB2312"/>
          <w:color w:val="auto"/>
          <w:spacing w:val="0"/>
          <w:sz w:val="32"/>
          <w:szCs w:val="32"/>
        </w:rPr>
        <w:t>宣传推介</w:t>
      </w:r>
      <w:r>
        <w:rPr>
          <w:rFonts w:hint="eastAsia" w:ascii="仿宋_GB2312" w:hAnsi="仿宋_GB2312" w:eastAsia="仿宋_GB2312" w:cs="仿宋_GB2312"/>
          <w:color w:val="auto"/>
          <w:spacing w:val="0"/>
          <w:sz w:val="32"/>
          <w:szCs w:val="32"/>
          <w:lang w:val="en-US" w:eastAsia="zh-CN"/>
        </w:rPr>
        <w:t>力度，全方位</w:t>
      </w:r>
      <w:r>
        <w:rPr>
          <w:rFonts w:hint="eastAsia" w:ascii="仿宋_GB2312" w:hAnsi="仿宋_GB2312" w:eastAsia="仿宋_GB2312" w:cs="仿宋_GB2312"/>
          <w:color w:val="auto"/>
          <w:spacing w:val="0"/>
          <w:sz w:val="32"/>
          <w:szCs w:val="32"/>
        </w:rPr>
        <w:t>扩大农村产权流转交易</w:t>
      </w:r>
      <w:r>
        <w:rPr>
          <w:rFonts w:hint="eastAsia" w:ascii="仿宋_GB2312" w:hAnsi="仿宋_GB2312" w:eastAsia="仿宋_GB2312" w:cs="仿宋_GB2312"/>
          <w:color w:val="auto"/>
          <w:spacing w:val="0"/>
          <w:sz w:val="32"/>
          <w:szCs w:val="32"/>
          <w:lang w:val="en-US" w:eastAsia="zh-CN"/>
        </w:rPr>
        <w:t>政策及相关业务的</w:t>
      </w:r>
      <w:r>
        <w:rPr>
          <w:rFonts w:hint="eastAsia" w:ascii="仿宋_GB2312" w:hAnsi="仿宋_GB2312" w:eastAsia="仿宋_GB2312" w:cs="仿宋_GB2312"/>
          <w:color w:val="auto"/>
          <w:spacing w:val="0"/>
          <w:sz w:val="32"/>
          <w:szCs w:val="32"/>
        </w:rPr>
        <w:t>知晓度</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覆盖面。各</w:t>
      </w:r>
      <w:r>
        <w:rPr>
          <w:rFonts w:hint="eastAsia" w:ascii="仿宋_GB2312" w:hAnsi="仿宋_GB2312" w:eastAsia="仿宋_GB2312" w:cs="仿宋_GB2312"/>
          <w:color w:val="auto"/>
          <w:spacing w:val="0"/>
          <w:sz w:val="32"/>
          <w:szCs w:val="32"/>
          <w:lang w:val="en-US" w:eastAsia="zh-CN"/>
        </w:rPr>
        <w:t>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镇</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街道</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、村</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社区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要</w:t>
      </w:r>
      <w:r>
        <w:rPr>
          <w:rFonts w:hint="eastAsia" w:ascii="仿宋_GB2312" w:hAnsi="仿宋_GB2312" w:eastAsia="仿宋_GB2312" w:cs="仿宋_GB2312"/>
          <w:color w:val="auto"/>
          <w:spacing w:val="0"/>
          <w:sz w:val="32"/>
          <w:szCs w:val="32"/>
          <w:lang w:val="en-US" w:eastAsia="zh-CN"/>
        </w:rPr>
        <w:t>主动</w:t>
      </w:r>
      <w:r>
        <w:rPr>
          <w:rFonts w:hint="eastAsia" w:ascii="仿宋_GB2312" w:hAnsi="仿宋_GB2312" w:eastAsia="仿宋_GB2312" w:cs="仿宋_GB2312"/>
          <w:color w:val="auto"/>
          <w:spacing w:val="0"/>
          <w:sz w:val="32"/>
          <w:szCs w:val="32"/>
        </w:rPr>
        <w:t>公布交易目录、交易流程、监督电话等</w:t>
      </w:r>
      <w:r>
        <w:rPr>
          <w:rFonts w:hint="eastAsia" w:ascii="仿宋_GB2312" w:hAnsi="仿宋_GB2312" w:eastAsia="仿宋_GB2312" w:cs="仿宋_GB2312"/>
          <w:color w:val="auto"/>
          <w:spacing w:val="0"/>
          <w:sz w:val="32"/>
          <w:szCs w:val="32"/>
          <w:lang w:val="en-US" w:eastAsia="zh-CN"/>
        </w:rPr>
        <w:t>关键信息，自觉</w:t>
      </w:r>
      <w:r>
        <w:rPr>
          <w:rFonts w:hint="eastAsia" w:ascii="仿宋_GB2312" w:hAnsi="仿宋_GB2312" w:eastAsia="仿宋_GB2312" w:cs="仿宋_GB2312"/>
          <w:color w:val="auto"/>
          <w:spacing w:val="0"/>
          <w:sz w:val="32"/>
          <w:szCs w:val="32"/>
        </w:rPr>
        <w:t>接受群众监督，虚心听取群众意见</w:t>
      </w:r>
      <w:r>
        <w:rPr>
          <w:rFonts w:hint="eastAsia" w:ascii="仿宋_GB2312" w:hAnsi="仿宋_GB2312" w:eastAsia="仿宋_GB2312" w:cs="仿宋_GB2312"/>
          <w:color w:val="auto"/>
          <w:spacing w:val="0"/>
          <w:sz w:val="32"/>
          <w:szCs w:val="32"/>
          <w:lang w:val="en-US" w:eastAsia="zh-CN"/>
        </w:rPr>
        <w:t>建议，为农村产权流转交易市场健康发展营造良好环境</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w:t>
      </w:r>
      <w:r>
        <w:rPr>
          <w:rFonts w:hint="eastAsia" w:ascii="仿宋_GB2312" w:hAnsi="仿宋_GB2312" w:eastAsia="仿宋_GB2312" w:cs="仿宋_GB2312"/>
          <w:spacing w:val="0"/>
          <w:sz w:val="32"/>
          <w:szCs w:val="32"/>
          <w:lang w:val="en-US" w:eastAsia="zh-CN"/>
        </w:rPr>
        <w:t>意见</w:t>
      </w:r>
      <w:r>
        <w:rPr>
          <w:rFonts w:hint="eastAsia" w:ascii="仿宋_GB2312" w:hAnsi="仿宋_GB2312" w:eastAsia="仿宋_GB2312" w:cs="仿宋_GB2312"/>
          <w:spacing w:val="0"/>
          <w:sz w:val="32"/>
          <w:szCs w:val="32"/>
        </w:rPr>
        <w:t>自印发之日起实施，有效期</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0"/>
          <w:sz w:val="32"/>
          <w:szCs w:val="32"/>
          <w:lang w:val="en-US" w:eastAsia="zh-CN"/>
        </w:rPr>
      </w:pPr>
    </w:p>
    <w:p>
      <w:pPr>
        <w:ind w:firstLine="640" w:firstLineChars="200"/>
        <w:rPr>
          <w:rFonts w:hint="eastAsia" w:eastAsia="仿宋_GB2312"/>
          <w:spacing w:val="0"/>
          <w:lang w:val="en-US" w:eastAsia="zh-CN"/>
        </w:rPr>
        <w:sectPr>
          <w:footerReference r:id="rId3" w:type="default"/>
          <w:pgSz w:w="11906" w:h="16838"/>
          <w:pgMar w:top="1701" w:right="1587" w:bottom="1701"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439" w:charSpace="0"/>
        </w:sectPr>
      </w:pPr>
      <w:r>
        <w:rPr>
          <w:rFonts w:hint="eastAsia" w:ascii="仿宋_GB2312" w:hAnsi="仿宋_GB2312" w:eastAsia="仿宋_GB2312" w:cs="仿宋_GB2312"/>
          <w:spacing w:val="0"/>
          <w:sz w:val="32"/>
          <w:szCs w:val="32"/>
          <w:lang w:val="en-US" w:eastAsia="zh-CN"/>
        </w:rPr>
        <w:t>附件：三明市“全资源、全要素”流转交易目录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val="0"/>
          <w:bCs w:val="0"/>
          <w:i w:val="0"/>
          <w:iCs w:val="0"/>
          <w:caps w:val="0"/>
          <w:color w:val="000000" w:themeColor="text1"/>
          <w:spacing w:val="0"/>
          <w:kern w:val="0"/>
          <w:sz w:val="40"/>
          <w:szCs w:val="40"/>
          <w:shd w:val="clear" w:fill="FFFFFF"/>
          <w:lang w:val="en-US" w:eastAsia="zh-CN" w:bidi="ar"/>
          <w14:textFill>
            <w14:solidFill>
              <w14:schemeClr w14:val="tx1"/>
            </w14:solidFill>
          </w14:textFill>
        </w:rPr>
        <w:t>三明市“全资源、全要素”流转交易目录</w:t>
      </w:r>
    </w:p>
    <w:tbl>
      <w:tblPr>
        <w:tblStyle w:val="11"/>
        <w:tblW w:w="6099" w:type="pct"/>
        <w:jc w:val="center"/>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Layout w:type="autofit"/>
        <w:tblCellMar>
          <w:top w:w="0" w:type="dxa"/>
          <w:left w:w="0" w:type="dxa"/>
          <w:bottom w:w="0" w:type="dxa"/>
          <w:right w:w="0" w:type="dxa"/>
        </w:tblCellMar>
      </w:tblPr>
      <w:tblGrid>
        <w:gridCol w:w="318"/>
        <w:gridCol w:w="955"/>
        <w:gridCol w:w="1659"/>
        <w:gridCol w:w="5610"/>
        <w:gridCol w:w="1609"/>
      </w:tblGrid>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13" w:hRule="atLeast"/>
          <w:tblHeader/>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470"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kern w:val="0"/>
                <w:sz w:val="21"/>
                <w:szCs w:val="21"/>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类别</w:t>
            </w: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sz w:val="21"/>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交易品种</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sz w:val="21"/>
                <w:szCs w:val="21"/>
                <w:lang w:val="en-US" w:eastAsia="zh-CN"/>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具体内容</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涉及部门</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28"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w:t>
            </w:r>
          </w:p>
        </w:tc>
        <w:tc>
          <w:tcPr>
            <w:tcW w:w="470"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应进必进</w:t>
            </w: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林权</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林地经营权和林木所有权、林木使用权</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林业局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35"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highlight w:val="none"/>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农村土地经营权</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highlight w:val="none"/>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耕地、养殖水面等经营权</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水利局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市场监管局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41"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3</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“四荒” 使用权</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荒山、荒沟、荒丘、荒滩使用权</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898"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4</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农村集体经营性资产</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集体统一经营管理的经营性资产的所有权或使用权（含集体所有的厂房、仓库、商铺、集体经营性建设用地附属设施、农业生产配套用房等）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486"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5</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农业生产设施设备</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温室大棚、育苗棚、烘干房、田间配电房、拖拉机、旋耕机、播种机、插秧机、移栽机、施肥机、无人机、冷藏车、冷库、保鲜运输车、畜禽养殖棚舍、水产养殖设备、种子精选机、脱粒机、分选机、水肥一体化设备、农机库房等各类农业生产相关固定设施与移动设备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39"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6</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小型水利设施使用权</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小型水电站、小型蓄水与控水设施、农田灌溉相关设施、农村饮水安全设施、小型水库、塘坝等使用权流转</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04"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7</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农业类知识产权交易</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涉农专利、商标、版权、新品种、新技术、许可使用等</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2943"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8</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bCs w:val="0"/>
                <w:i w:val="0"/>
                <w:sz w:val="21"/>
                <w:szCs w:val="21"/>
                <w:lang w:val="en-US" w:eastAsia="zh-CN"/>
              </w:rPr>
              <w:t>农村工程建设项目招标、货物和服务采购</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田水利设施（灌渠、机井、蓄水池）、农村道路（村内主干道、田间作业路硬化）、人居环境整治工程（厕所改造、污水管网、垃圾处理设施）、村集体房屋（村委办公楼、文化活动中心、集体厂房）、畜禽养殖标准化棚舍、设施农业大棚等建筑施工项目；工程配套的勘察、设计、监理、造价咨询、工程检测等服务招标，以及工程相关设备材料采购招标；农业生产类物资：种子、农药、肥料、禽苗、饲料；基础设施与公益类物资；办公与集体管理类物资等物资或服务采购等。符合国家依法必须招标规模标准或涉及政府采购管理的工程项目，按国家有关规定执行。</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发改委</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财政局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住建局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交通运输局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862"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9</w:t>
            </w:r>
          </w:p>
        </w:tc>
        <w:tc>
          <w:tcPr>
            <w:tcW w:w="470"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能进则进</w:t>
            </w: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集体受托管理的农村土地经营权流转</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集体统一管理的、预留的未分配给农户的及农户、合作社、企业委托村集体统一代管的土地、养殖水面等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141"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10</w:t>
            </w:r>
          </w:p>
        </w:tc>
        <w:tc>
          <w:tcPr>
            <w:tcW w:w="470"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农村产业招商项目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含特色种养及深加工项目、现代农业/智慧农业项目、农文旅康养融合项目、农村基础设施及物流配套项目、乡村闲置资产盘活及产业综合体项目、乡村特色产业及新兴产业项目等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商务局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文旅局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61"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11</w:t>
            </w:r>
          </w:p>
        </w:tc>
        <w:tc>
          <w:tcPr>
            <w:tcW w:w="470"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高标准农田相关项目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含高标准农田建设工程施工、高标准农田配套设施（灌溉、排水、田间道路）使用权流转、高标准农田经营权集中流转、高标准农田建设相关技术服务采购等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78"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12</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闲置农房流转及开发利用项目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含农村集体及农户闲置房屋、住宅、校舍、厂房等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自然资源局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住建局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0"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13</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农村历史建筑活化利用项目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农村历史建筑、传统风貌建筑活化利用等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住建局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069"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14</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农村集体经营性建设用地入市</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含村集体所有的经营性建设用地使用权出让、出租、作价出资（入股）等交易，涉及工业、商业、旅游、养老等经营性用途的集体建设用地等</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自然资源局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54"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15</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农民集中居住区安置房交易项目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含农民集中居住区中符合交易条件的安置房所有权转让、使用权流转等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92"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16</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种业产业项目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含种质资源保护、良种繁育、种子推广、种子品牌运营等</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市场监督管理局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92"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17</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食用菌产业项目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含菌种培育、规模化种植、菌菇深加工等、含菌种研发与推广、菌渣资源化利用项目等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65"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18</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茶叶产业项目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含种植、加工、品牌运营、渠道建设等</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林业局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市场监督管理局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65"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19</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中草药产业项目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含道地药材种植、炮制加工、药用开发、中药材仓储物流项目等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65"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20</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畜禽产业项目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含标准化养殖、畜禽产品加工、疫病防控、畜禽粪便利用等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生态环境局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市场监督管理局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68"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21</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蔬菜产业项目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含设施蔬菜种植、绿色防控、产销对接、分选加工、蔬菜冷链配送、蔬菜订单种植合作等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自然资源局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市场监督管理局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10"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22</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水果产业项目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含特色水果种植、冷链仓储、精深加工等</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林业局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自然资源局</w:t>
            </w:r>
          </w:p>
          <w:p>
            <w:pPr>
              <w:keepNext w:val="0"/>
              <w:keepLines w:val="0"/>
              <w:widowControl/>
              <w:suppressLineNumbers w:val="0"/>
              <w:snapToGrid w:val="0"/>
              <w:ind w:left="0" w:leftChars="0" w:right="0" w:rightChars="0" w:firstLine="0" w:firstLineChars="0"/>
              <w:jc w:val="both"/>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市场监督管理局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03"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23</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林竹产业项目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含竹林培育、木材加工、竹制品研发及销售、林竹副产品开发、林下经济等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2"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24</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自然资源相关</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highlight w:val="none"/>
                <w:lang w:val="en-US" w:eastAsia="zh-CN"/>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交易项目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highlight w:val="none"/>
                <w:lang w:val="en-US" w:eastAsia="zh-CN"/>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森林资源（除林权外）、山地生态旅游资源开发权、农村自然景观利用权等</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自然资源局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发改委</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财政局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文旅局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787"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25</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土地整治及出让项目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农村土地整理、复垦项目施工招标、土地整治后新增耕地经营权流转、土地整治项目相关技术服务采购等</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76"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26</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砂石固料相关</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转让项目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合法开采区域内的砂石资源开采权出让、砂石固料加工项目合作、砂石运输服务外包等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自然资源局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水利局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交通运输局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739"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27</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水域治理及相关</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highlight w:val="none"/>
                <w:lang w:val="en-US" w:eastAsia="zh-CN" w:bidi="ar-SA"/>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权益项目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highlight w:val="none"/>
                <w:lang w:val="en-US" w:eastAsia="zh-CN" w:bidi="ar-SA"/>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河道、池塘、水库周边治理工程合作、水土保持生态项目、水域生态修复项目、水域旅游开发权等</w:t>
            </w:r>
          </w:p>
        </w:tc>
        <w:tc>
          <w:tcPr>
            <w:tcW w:w="792" w:type="pct"/>
            <w:vMerge w:val="restar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水利局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生态环境局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499"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28</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highlight w:val="none"/>
                <w:lang w:val="en-US" w:eastAsia="zh-CN" w:bidi="ar-SA"/>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水资源相关权益</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highlight w:val="none"/>
                <w:lang w:val="en-US" w:eastAsia="zh-CN"/>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取水权、排污权等相关项目</w:t>
            </w:r>
          </w:p>
        </w:tc>
        <w:tc>
          <w:tcPr>
            <w:tcW w:w="792" w:type="pct"/>
            <w:vMerge w:val="continue"/>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pP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11"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29</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技术转让项目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含农业种植技术、畜禽养殖技术、农产品加工技术、农村环保技术、智慧农业技术等转让、许可使用、合作开发等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科技局</w:t>
            </w:r>
          </w:p>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农业农村局</w:t>
            </w:r>
          </w:p>
        </w:tc>
      </w:tr>
      <w:tr>
        <w:tblPrEx>
          <w:tblBorders>
            <w:top w:val="single" w:color="000000" w:themeColor="dark1" w:sz="6" w:space="0"/>
            <w:left w:val="single" w:color="000000" w:themeColor="dark1" w:sz="6" w:space="0"/>
            <w:bottom w:val="single" w:color="000000" w:themeColor="dark1" w:sz="6" w:space="0"/>
            <w:right w:val="single" w:color="000000" w:themeColor="dark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88" w:hRule="atLeast"/>
          <w:jc w:val="center"/>
        </w:trPr>
        <w:tc>
          <w:tcPr>
            <w:tcW w:w="15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sz w:val="21"/>
                <w:szCs w:val="21"/>
                <w:lang w:val="en-US" w:eastAsia="zh-CN"/>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30</w:t>
            </w:r>
          </w:p>
        </w:tc>
        <w:tc>
          <w:tcPr>
            <w:tcW w:w="470" w:type="pct"/>
            <w:vMerge w:val="continue"/>
            <w:tcBorders>
              <w:tl2br w:val="nil"/>
              <w:tr2bl w:val="nil"/>
            </w:tcBorders>
            <w:shd w:val="clear" w:color="auto" w:fill="FFFFFF"/>
            <w:vAlign w:val="center"/>
          </w:tcPr>
          <w:p>
            <w:pPr>
              <w:snapToGrid w:val="0"/>
              <w:ind w:left="0" w:leftChars="0" w:right="0" w:rightChars="0" w:firstLine="0" w:firstLineChars="0"/>
              <w:jc w:val="center"/>
              <w:rPr>
                <w:rFonts w:hint="eastAsia" w:asciiTheme="minorEastAsia" w:hAnsiTheme="minorEastAsia" w:eastAsiaTheme="minorEastAsia" w:cstheme="minorEastAsia"/>
                <w:b w:val="0"/>
                <w:bCs w:val="0"/>
                <w:i w:val="0"/>
                <w:color w:val="000000"/>
                <w:sz w:val="21"/>
                <w:szCs w:val="21"/>
                <w:lang w:val="en-US" w:eastAsia="zh-CN"/>
              </w:rPr>
            </w:pPr>
          </w:p>
        </w:tc>
        <w:tc>
          <w:tcPr>
            <w:tcW w:w="817"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kern w:val="2"/>
                <w:sz w:val="21"/>
                <w:szCs w:val="21"/>
                <w:lang w:val="en-US" w:eastAsia="zh-CN" w:bidi="ar-SA"/>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企业股权转让项目</w:t>
            </w:r>
          </w:p>
        </w:tc>
        <w:tc>
          <w:tcPr>
            <w:tcW w:w="276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u w:val="none"/>
                <w:lang w:val="en-US" w:eastAsia="zh-CN" w:bidi="ar"/>
              </w:rPr>
              <w:t>农村集体企业股权、民营企业股权、农业合作社股权等</w:t>
            </w:r>
          </w:p>
        </w:tc>
        <w:tc>
          <w:tcPr>
            <w:tcW w:w="792" w:type="pct"/>
            <w:tcBorders>
              <w:tl2br w:val="nil"/>
              <w:tr2bl w:val="nil"/>
            </w:tcBorders>
            <w:shd w:val="clear" w:color="auto" w:fill="FFFFFF"/>
            <w:vAlign w:val="center"/>
          </w:tcPr>
          <w:p>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市场监督管理局</w:t>
            </w:r>
          </w:p>
          <w:p>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i w:val="0"/>
                <w:iCs w:val="0"/>
                <w:color w:val="000000"/>
                <w:kern w:val="0"/>
                <w:sz w:val="21"/>
                <w:szCs w:val="21"/>
                <w:highlight w:val="none"/>
                <w:u w:val="none"/>
                <w:lang w:val="en-US" w:eastAsia="zh-CN" w:bidi="ar"/>
              </w:rPr>
              <w:t>农业农村局</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lang w:val="en-US" w:eastAsia="zh-CN"/>
        </w:rPr>
      </w:pPr>
      <w:r>
        <w:rPr>
          <w:rFonts w:hint="eastAsia" w:ascii="微软雅黑" w:hAnsi="微软雅黑" w:eastAsia="微软雅黑" w:cs="微软雅黑"/>
          <w:i w:val="0"/>
          <w:iCs w:val="0"/>
          <w:caps w:val="0"/>
          <w:color w:val="666666"/>
          <w:spacing w:val="0"/>
          <w:sz w:val="16"/>
          <w:szCs w:val="16"/>
          <w:shd w:val="clear" w:fill="FFFFFF"/>
        </w:rPr>
        <w:t> </w:t>
      </w:r>
      <w:r>
        <w:rPr>
          <w:rFonts w:hint="eastAsia" w:ascii="仿宋_GB2312" w:hAnsi="仿宋_GB2312" w:eastAsia="仿宋_GB2312" w:cs="仿宋_GB2312"/>
          <w:spacing w:val="-6"/>
          <w:sz w:val="28"/>
          <w:szCs w:val="28"/>
          <w:lang w:val="en-US" w:eastAsia="zh-CN"/>
        </w:rPr>
        <w:t>备注</w:t>
      </w:r>
      <w:r>
        <w:rPr>
          <w:rFonts w:hint="eastAsia" w:ascii="仿宋_GB2312" w:hAnsi="仿宋_GB2312" w:eastAsia="仿宋_GB2312" w:cs="仿宋_GB2312"/>
          <w:spacing w:val="-6"/>
          <w:sz w:val="28"/>
          <w:szCs w:val="28"/>
        </w:rPr>
        <w:t>：</w:t>
      </w:r>
      <w:r>
        <w:rPr>
          <w:rFonts w:hint="eastAsia" w:ascii="仿宋_GB2312" w:hAnsi="仿宋_GB2312" w:eastAsia="仿宋_GB2312" w:cs="仿宋_GB2312"/>
          <w:spacing w:val="-6"/>
          <w:sz w:val="28"/>
          <w:szCs w:val="28"/>
          <w:lang w:val="en-US" w:eastAsia="zh-CN"/>
        </w:rPr>
        <w:t>根据法律未禁止均可入场交易的原则，</w:t>
      </w:r>
      <w:r>
        <w:rPr>
          <w:rFonts w:hint="eastAsia" w:ascii="仿宋_GB2312" w:hAnsi="仿宋_GB2312" w:eastAsia="仿宋_GB2312" w:cs="仿宋_GB2312"/>
          <w:spacing w:val="-6"/>
          <w:sz w:val="28"/>
          <w:szCs w:val="28"/>
        </w:rPr>
        <w:t>本目录将</w:t>
      </w:r>
      <w:r>
        <w:rPr>
          <w:rFonts w:hint="eastAsia" w:ascii="仿宋_GB2312" w:hAnsi="仿宋_GB2312" w:eastAsia="仿宋_GB2312" w:cs="仿宋_GB2312"/>
          <w:spacing w:val="-6"/>
          <w:sz w:val="28"/>
          <w:szCs w:val="28"/>
          <w:lang w:val="en-US" w:eastAsia="zh-CN"/>
        </w:rPr>
        <w:t>动态发布</w:t>
      </w:r>
      <w:r>
        <w:rPr>
          <w:rFonts w:hint="eastAsia" w:ascii="仿宋_GB2312" w:hAnsi="仿宋_GB2312" w:eastAsia="仿宋_GB2312" w:cs="仿宋_GB2312"/>
          <w:spacing w:val="-6"/>
          <w:sz w:val="28"/>
          <w:szCs w:val="28"/>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830EAE-ACEF-4F94-A4AF-110F48CA3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20106090300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4D32EB2B-49D2-40DB-973A-072F18EAA566}"/>
  </w:font>
  <w:font w:name="楷体_GB2312">
    <w:panose1 w:val="02010609030101010101"/>
    <w:charset w:val="86"/>
    <w:family w:val="auto"/>
    <w:pitch w:val="default"/>
    <w:sig w:usb0="00000001" w:usb1="080E0000" w:usb2="00000000" w:usb3="00000000" w:csb0="00040000" w:csb1="00000000"/>
    <w:embedRegular r:id="rId3" w:fontKey="{E9BDB074-9F07-4D5B-86E3-73AB34AA191C}"/>
  </w:font>
  <w:font w:name="仿宋_GB2312">
    <w:panose1 w:val="02010609030101010101"/>
    <w:charset w:val="86"/>
    <w:family w:val="auto"/>
    <w:pitch w:val="default"/>
    <w:sig w:usb0="00000001" w:usb1="080E0000" w:usb2="00000000" w:usb3="00000000" w:csb0="00040000" w:csb1="00000000"/>
    <w:embedRegular r:id="rId4" w:fontKey="{DEB963DF-99E0-47B8-BEB5-A73F2E8F78AA}"/>
  </w:font>
  <w:font w:name="微软雅黑">
    <w:panose1 w:val="020B0503020204020204"/>
    <w:charset w:val="86"/>
    <w:family w:val="auto"/>
    <w:pitch w:val="default"/>
    <w:sig w:usb0="80000287" w:usb1="28CF3C50" w:usb2="00000016" w:usb3="00000000" w:csb0="0004001F" w:csb1="00000000"/>
    <w:embedRegular r:id="rId5" w:fontKey="{9B883E1B-46D0-4336-A80B-C58E9A95F8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7281"/>
    <w:rsid w:val="00F06256"/>
    <w:rsid w:val="020928F9"/>
    <w:rsid w:val="021C0F86"/>
    <w:rsid w:val="032D5D3B"/>
    <w:rsid w:val="03E545BA"/>
    <w:rsid w:val="051818F2"/>
    <w:rsid w:val="05946D18"/>
    <w:rsid w:val="059509DC"/>
    <w:rsid w:val="05DD74B5"/>
    <w:rsid w:val="05FA6DB4"/>
    <w:rsid w:val="06293905"/>
    <w:rsid w:val="06862C47"/>
    <w:rsid w:val="095304EA"/>
    <w:rsid w:val="09EB24CB"/>
    <w:rsid w:val="0A010203"/>
    <w:rsid w:val="0A8530D4"/>
    <w:rsid w:val="0CD10EA4"/>
    <w:rsid w:val="0E582424"/>
    <w:rsid w:val="0E836F3C"/>
    <w:rsid w:val="0F215C00"/>
    <w:rsid w:val="114D7E91"/>
    <w:rsid w:val="1203449B"/>
    <w:rsid w:val="128E3F02"/>
    <w:rsid w:val="131F00EB"/>
    <w:rsid w:val="13B84EC6"/>
    <w:rsid w:val="141F2CFC"/>
    <w:rsid w:val="14781D09"/>
    <w:rsid w:val="154148ED"/>
    <w:rsid w:val="1561154D"/>
    <w:rsid w:val="167E1196"/>
    <w:rsid w:val="17B56AE3"/>
    <w:rsid w:val="18F90F15"/>
    <w:rsid w:val="191134DC"/>
    <w:rsid w:val="19B73DD4"/>
    <w:rsid w:val="19ED66F3"/>
    <w:rsid w:val="1A725E77"/>
    <w:rsid w:val="1AB21286"/>
    <w:rsid w:val="1AE703E6"/>
    <w:rsid w:val="1B7D77E1"/>
    <w:rsid w:val="1BE614F8"/>
    <w:rsid w:val="1C0B6978"/>
    <w:rsid w:val="1C626DD1"/>
    <w:rsid w:val="1D743260"/>
    <w:rsid w:val="1EDE3CB5"/>
    <w:rsid w:val="1F021BC4"/>
    <w:rsid w:val="1F4A7D42"/>
    <w:rsid w:val="1F764D93"/>
    <w:rsid w:val="1F921359"/>
    <w:rsid w:val="204831B3"/>
    <w:rsid w:val="2107263D"/>
    <w:rsid w:val="22E95C7C"/>
    <w:rsid w:val="237012A8"/>
    <w:rsid w:val="24125251"/>
    <w:rsid w:val="248B1094"/>
    <w:rsid w:val="24F536AF"/>
    <w:rsid w:val="25D331C9"/>
    <w:rsid w:val="26BE701C"/>
    <w:rsid w:val="27084A19"/>
    <w:rsid w:val="27E00B69"/>
    <w:rsid w:val="28666837"/>
    <w:rsid w:val="2A7D4BD9"/>
    <w:rsid w:val="2C82701B"/>
    <w:rsid w:val="2CA927FA"/>
    <w:rsid w:val="2CF03F85"/>
    <w:rsid w:val="2EBF00B3"/>
    <w:rsid w:val="2FBE0F17"/>
    <w:rsid w:val="304A7E50"/>
    <w:rsid w:val="30DE57D2"/>
    <w:rsid w:val="31153435"/>
    <w:rsid w:val="31EB238C"/>
    <w:rsid w:val="34A046C7"/>
    <w:rsid w:val="34B92DBE"/>
    <w:rsid w:val="35183AB6"/>
    <w:rsid w:val="352220B3"/>
    <w:rsid w:val="35CB2299"/>
    <w:rsid w:val="35E30B2B"/>
    <w:rsid w:val="36142DB9"/>
    <w:rsid w:val="362178A5"/>
    <w:rsid w:val="366A124C"/>
    <w:rsid w:val="36C83858"/>
    <w:rsid w:val="370F2345"/>
    <w:rsid w:val="374C59AF"/>
    <w:rsid w:val="38401556"/>
    <w:rsid w:val="38767A34"/>
    <w:rsid w:val="38CF2A0F"/>
    <w:rsid w:val="3B1874C8"/>
    <w:rsid w:val="3B2E2848"/>
    <w:rsid w:val="3CA24E46"/>
    <w:rsid w:val="3CC05082"/>
    <w:rsid w:val="3D2C3FF6"/>
    <w:rsid w:val="3D5C6146"/>
    <w:rsid w:val="3E043B24"/>
    <w:rsid w:val="3E2D4DCE"/>
    <w:rsid w:val="3E4127D7"/>
    <w:rsid w:val="3E467EA9"/>
    <w:rsid w:val="3F2A5A1C"/>
    <w:rsid w:val="403876BC"/>
    <w:rsid w:val="40A23968"/>
    <w:rsid w:val="42A710EB"/>
    <w:rsid w:val="43231840"/>
    <w:rsid w:val="433D78FD"/>
    <w:rsid w:val="44176755"/>
    <w:rsid w:val="44705C7F"/>
    <w:rsid w:val="44A21B97"/>
    <w:rsid w:val="471634BA"/>
    <w:rsid w:val="47F6293F"/>
    <w:rsid w:val="48237679"/>
    <w:rsid w:val="48CB3DCC"/>
    <w:rsid w:val="49454BAB"/>
    <w:rsid w:val="4981448B"/>
    <w:rsid w:val="4A100FE7"/>
    <w:rsid w:val="4AD64AE0"/>
    <w:rsid w:val="4B6F7DE3"/>
    <w:rsid w:val="4C3572CF"/>
    <w:rsid w:val="4C883D82"/>
    <w:rsid w:val="4DF53699"/>
    <w:rsid w:val="4E383AE3"/>
    <w:rsid w:val="4E5633C9"/>
    <w:rsid w:val="4EA13EBF"/>
    <w:rsid w:val="4F1336A1"/>
    <w:rsid w:val="50977C91"/>
    <w:rsid w:val="50AD3DB7"/>
    <w:rsid w:val="514F1CE2"/>
    <w:rsid w:val="52A0685C"/>
    <w:rsid w:val="52D763CB"/>
    <w:rsid w:val="551F7938"/>
    <w:rsid w:val="564D1668"/>
    <w:rsid w:val="56EE21DA"/>
    <w:rsid w:val="58BD1E8F"/>
    <w:rsid w:val="58F115BE"/>
    <w:rsid w:val="58F556D8"/>
    <w:rsid w:val="590F7BB7"/>
    <w:rsid w:val="5A7146E2"/>
    <w:rsid w:val="5B0E2FD1"/>
    <w:rsid w:val="5C2E168A"/>
    <w:rsid w:val="5D046777"/>
    <w:rsid w:val="5D391FB7"/>
    <w:rsid w:val="5DDC3F2E"/>
    <w:rsid w:val="5E4D1B01"/>
    <w:rsid w:val="5E70393F"/>
    <w:rsid w:val="5E9B7AA6"/>
    <w:rsid w:val="5F6F5C1B"/>
    <w:rsid w:val="5FEF36A9"/>
    <w:rsid w:val="601B3B57"/>
    <w:rsid w:val="60F314CA"/>
    <w:rsid w:val="61190E29"/>
    <w:rsid w:val="61335E65"/>
    <w:rsid w:val="61630BEE"/>
    <w:rsid w:val="62361E5F"/>
    <w:rsid w:val="6261481F"/>
    <w:rsid w:val="62ED50FA"/>
    <w:rsid w:val="62EF165E"/>
    <w:rsid w:val="637F5A87"/>
    <w:rsid w:val="63A364CC"/>
    <w:rsid w:val="63A80FFC"/>
    <w:rsid w:val="67BD15B9"/>
    <w:rsid w:val="686B07DD"/>
    <w:rsid w:val="69CB5582"/>
    <w:rsid w:val="6C1E3751"/>
    <w:rsid w:val="6C3F4BEB"/>
    <w:rsid w:val="6E4E1B5D"/>
    <w:rsid w:val="705A08C7"/>
    <w:rsid w:val="73E343DD"/>
    <w:rsid w:val="7444759B"/>
    <w:rsid w:val="74850ABC"/>
    <w:rsid w:val="748C4390"/>
    <w:rsid w:val="758B13C2"/>
    <w:rsid w:val="75FF4966"/>
    <w:rsid w:val="766F3E95"/>
    <w:rsid w:val="769A6A08"/>
    <w:rsid w:val="77272BFD"/>
    <w:rsid w:val="775C19A2"/>
    <w:rsid w:val="789E491E"/>
    <w:rsid w:val="7A196EA6"/>
    <w:rsid w:val="7ABD6E96"/>
    <w:rsid w:val="7B110378"/>
    <w:rsid w:val="7B42141C"/>
    <w:rsid w:val="7B9B5A30"/>
    <w:rsid w:val="7BF335D2"/>
    <w:rsid w:val="7C105330"/>
    <w:rsid w:val="7D786DE7"/>
    <w:rsid w:val="7E1549F8"/>
    <w:rsid w:val="7E90029F"/>
    <w:rsid w:val="7F1C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5">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6">
    <w:name w:val="Normal Indent"/>
    <w:basedOn w:val="1"/>
    <w:qFormat/>
    <w:uiPriority w:val="99"/>
    <w:pPr>
      <w:ind w:firstLine="420" w:firstLineChars="200"/>
    </w:pPr>
    <w:rPr>
      <w:rFonts w:ascii="Times New Roman" w:hAnsi="Times New Roman" w:eastAsia="宋体" w:cs="Times New Roman"/>
    </w:rPr>
  </w:style>
  <w:style w:type="paragraph" w:styleId="7">
    <w:name w:val="Body Text"/>
    <w:basedOn w:val="1"/>
    <w:qFormat/>
    <w:uiPriority w:val="0"/>
    <w:rPr>
      <w:rFonts w:ascii="FangSong_GB2312" w:hAnsi="FangSong_GB2312" w:eastAsia="FangSong_GB2312" w:cs="FangSong_GB2312"/>
      <w:sz w:val="31"/>
      <w:szCs w:val="3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1985</Words>
  <Characters>1996</Characters>
  <Paragraphs>329</Paragraphs>
  <TotalTime>1</TotalTime>
  <ScaleCrop>false</ScaleCrop>
  <LinksUpToDate>false</LinksUpToDate>
  <CharactersWithSpaces>1996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2025-11-19T02:28:00Z</dcterms:created>
  <dc:creator>林钐</dc:creator>
  <cp:lastModifiedBy>Administrator</cp:lastModifiedBy>
  <cp:lastPrinted>2025-12-01T07:12:00Z</cp:lastPrinted>
  <dcterms:modified xsi:type="dcterms:W3CDTF">2025-12-26T07:22:23Z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B487728D196D47AFB6F5BA11DB7D08BC</vt:lpwstr>
  </property>
  <property fmtid="{D5CDD505-2E9C-101B-9397-08002B2CF9AE}" pid="4" name="KSOTemplateDocerSaveRecord">
    <vt:lpwstr>eyJoZGlkIjoiMmQ4OTM5NWNkOTA2Yjk1M2JjMDExZGJiNTQzZWQ0ZTUifQ==</vt:lpwstr>
  </property>
</Properties>
</file>