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A88A1B">
      <w:pPr>
        <w:tabs>
          <w:tab w:val="center" w:pos="4425"/>
          <w:tab w:val="left" w:pos="6265"/>
        </w:tabs>
        <w:spacing w:line="560" w:lineRule="exact"/>
        <w:jc w:val="center"/>
        <w:rPr>
          <w:rFonts w:hint="eastAsia" w:ascii="方正小标宋简体" w:hAnsi="方正小标宋简体" w:eastAsia="方正小标宋简体" w:cs="方正小标宋简体"/>
          <w:sz w:val="44"/>
          <w:szCs w:val="44"/>
          <w:lang w:val="en-US" w:eastAsia="zh-CN"/>
        </w:rPr>
      </w:pPr>
    </w:p>
    <w:p w14:paraId="1D89DF93">
      <w:pPr>
        <w:pStyle w:val="7"/>
        <w:keepNext w:val="0"/>
        <w:keepLines w:val="0"/>
        <w:widowControl/>
        <w:suppressLineNumbers w:val="0"/>
        <w:rPr>
          <w:rFonts w:hint="eastAsia" w:ascii="仿宋_GB2312" w:hAnsi="Calibri" w:eastAsia="仿宋_GB2312" w:cs="仿宋_GB2312"/>
          <w:sz w:val="32"/>
          <w:szCs w:val="32"/>
          <w:lang w:val="en-US" w:eastAsia="zh-CN"/>
        </w:rPr>
      </w:pPr>
      <w:r>
        <w:t> </w:t>
      </w:r>
    </w:p>
    <w:p w14:paraId="3A2942A4">
      <w:pPr>
        <w:tabs>
          <w:tab w:val="center" w:pos="4425"/>
          <w:tab w:val="left" w:pos="6265"/>
        </w:tabs>
        <w:spacing w:line="560" w:lineRule="exact"/>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三明市生猪产能综合调控实施方案</w:t>
      </w:r>
    </w:p>
    <w:p w14:paraId="67095D01">
      <w:pPr>
        <w:tabs>
          <w:tab w:val="center" w:pos="4425"/>
          <w:tab w:val="left" w:pos="6265"/>
        </w:tabs>
        <w:spacing w:line="560" w:lineRule="exact"/>
        <w:jc w:val="center"/>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（2026 年修订）（征求意见稿）</w:t>
      </w:r>
    </w:p>
    <w:p w14:paraId="2604816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000000"/>
          <w:kern w:val="0"/>
          <w:sz w:val="24"/>
          <w:szCs w:val="24"/>
          <w:lang w:val="en-US" w:eastAsia="zh-CN" w:bidi="ar"/>
        </w:rPr>
      </w:pPr>
    </w:p>
    <w:p w14:paraId="139BE0F2">
      <w:pPr>
        <w:keepNext w:val="0"/>
        <w:keepLines w:val="0"/>
        <w:pageBreakBefore w:val="0"/>
        <w:kinsoku/>
        <w:wordWrap/>
        <w:overflowPunct/>
        <w:topLinePunct w:val="0"/>
        <w:autoSpaceDE/>
        <w:autoSpaceDN/>
        <w:bidi w:val="0"/>
        <w:adjustRightInd/>
        <w:snapToGrid/>
        <w:spacing w:line="240" w:lineRule="auto"/>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为落实《福建省生猪产能综合调控实施方案（2026年修订）》（闽农牧〔2026〕6号）及《福建省农业农村厅关于印发能繁母猪及规模猪场正常保有量》（闽农牧函〔2026〕57号）文件要求，筑牢我市生猪稳产保供根基，有效防止产能大幅波动，适应生猪产业发展新阶段新要求，我市将优化分解各县（市、区）能繁母猪与规模猪场保有量指标，进一步强化监测预警、政策支撑等保障举措，构建上下协同、响应及时的生猪产能调控体系，促进生猪产业平稳健康发展，持续提升猪肉供应安全保障水平，结合三明实际，修订完善本实施方案。</w:t>
      </w:r>
    </w:p>
    <w:p w14:paraId="1B482863">
      <w:pPr>
        <w:keepNext w:val="0"/>
        <w:keepLines w:val="0"/>
        <w:pageBreakBefore w:val="0"/>
        <w:kinsoku/>
        <w:wordWrap/>
        <w:overflowPunct/>
        <w:topLinePunct w:val="0"/>
        <w:autoSpaceDE/>
        <w:autoSpaceDN/>
        <w:bidi w:val="0"/>
        <w:adjustRightInd/>
        <w:snapToGrid/>
        <w:spacing w:line="240" w:lineRule="auto"/>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一、总体调控目标和要求</w:t>
      </w:r>
    </w:p>
    <w:p w14:paraId="5842D5CE">
      <w:pPr>
        <w:keepNext w:val="0"/>
        <w:keepLines w:val="0"/>
        <w:pageBreakBefore w:val="0"/>
        <w:kinsoku/>
        <w:wordWrap/>
        <w:overflowPunct/>
        <w:topLinePunct w:val="0"/>
        <w:autoSpaceDE/>
        <w:autoSpaceDN/>
        <w:bidi w:val="0"/>
        <w:adjustRightInd/>
        <w:snapToGrid/>
        <w:spacing w:line="240" w:lineRule="auto"/>
        <w:ind w:firstLine="643" w:firstLineChars="200"/>
        <w:rPr>
          <w:rFonts w:hint="default" w:ascii="楷体_GB2312" w:hAnsi="宋体" w:eastAsia="楷体_GB2312" w:cs="楷体_GB2312"/>
          <w:b/>
          <w:bCs/>
          <w:color w:val="000000"/>
          <w:kern w:val="0"/>
          <w:sz w:val="32"/>
          <w:szCs w:val="32"/>
          <w:lang w:val="en-US" w:eastAsia="zh-CN" w:bidi="ar"/>
        </w:rPr>
      </w:pPr>
      <w:r>
        <w:rPr>
          <w:rFonts w:hint="eastAsia" w:ascii="楷体_GB2312" w:hAnsi="宋体" w:eastAsia="楷体_GB2312" w:cs="楷体_GB2312"/>
          <w:b/>
          <w:bCs/>
          <w:color w:val="000000"/>
          <w:kern w:val="0"/>
          <w:sz w:val="32"/>
          <w:szCs w:val="32"/>
          <w:lang w:val="en-US" w:eastAsia="zh-CN" w:bidi="ar"/>
        </w:rPr>
        <w:t>（一）能繁母猪及规模场保有量</w:t>
      </w:r>
    </w:p>
    <w:p w14:paraId="580D7F5A">
      <w:pPr>
        <w:keepNext w:val="0"/>
        <w:keepLines w:val="0"/>
        <w:pageBreakBefore w:val="0"/>
        <w:kinsoku/>
        <w:wordWrap/>
        <w:overflowPunct/>
        <w:topLinePunct w:val="0"/>
        <w:autoSpaceDE/>
        <w:autoSpaceDN/>
        <w:bidi w:val="0"/>
        <w:adjustRightInd/>
        <w:snapToGrid/>
        <w:spacing w:line="240" w:lineRule="auto"/>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根据《福建省农业农村厅关于印发能繁母猪及规模猪场正常保有量》（闽农牧函〔2026〕57号）下达任务，结合我市生猪生产基础，确定全市能繁母猪正常保有量稳定在 11.7万头左右，规模猪场正常保有量稳定在400个以上。 各县（市、区）能繁母猪及规模猪场保有量，以 2024 年下达的保有量为基础，结合2025年末生猪生产实际情况统筹分解下达，详见下表。各县（市、区）不得将保有量目标分解到乡镇、村。</w:t>
      </w:r>
    </w:p>
    <w:p w14:paraId="6B01A153">
      <w:pPr>
        <w:keepNext w:val="0"/>
        <w:keepLines w:val="0"/>
        <w:pageBreakBefore w:val="0"/>
        <w:kinsoku/>
        <w:wordWrap/>
        <w:overflowPunct/>
        <w:topLinePunct w:val="0"/>
        <w:autoSpaceDE/>
        <w:autoSpaceDN/>
        <w:bidi w:val="0"/>
        <w:adjustRightInd/>
        <w:snapToGrid/>
        <w:spacing w:line="240" w:lineRule="auto"/>
        <w:ind w:firstLine="643" w:firstLineChars="200"/>
        <w:jc w:val="center"/>
        <w:rPr>
          <w:rFonts w:hint="default" w:ascii="仿宋_GB2312" w:hAnsi="Calibri" w:eastAsia="仿宋_GB2312" w:cs="仿宋_GB2312"/>
          <w:b/>
          <w:bCs/>
          <w:sz w:val="32"/>
          <w:szCs w:val="32"/>
          <w:lang w:val="en-US" w:eastAsia="zh-CN"/>
        </w:rPr>
      </w:pPr>
      <w:r>
        <w:rPr>
          <w:rFonts w:hint="eastAsia" w:ascii="仿宋_GB2312" w:hAnsi="Calibri" w:eastAsia="仿宋_GB2312" w:cs="仿宋_GB2312"/>
          <w:b/>
          <w:bCs/>
          <w:sz w:val="32"/>
          <w:szCs w:val="32"/>
          <w:lang w:val="en-US" w:eastAsia="zh-CN"/>
        </w:rPr>
        <w:t>各县（市、区）能繁母猪和规模场保有量</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24"/>
        <w:gridCol w:w="3570"/>
        <w:gridCol w:w="3128"/>
      </w:tblGrid>
      <w:tr w14:paraId="3D979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4" w:type="dxa"/>
            <w:vAlign w:val="center"/>
          </w:tcPr>
          <w:p w14:paraId="0E246D1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仿宋_GB2312" w:hAnsi="Calibri" w:eastAsia="仿宋_GB2312" w:cs="仿宋_GB2312"/>
                <w:b/>
                <w:bCs/>
                <w:color w:val="auto"/>
                <w:sz w:val="32"/>
                <w:szCs w:val="32"/>
                <w:vertAlign w:val="baseline"/>
                <w:lang w:val="en-US" w:eastAsia="zh-CN"/>
              </w:rPr>
            </w:pPr>
            <w:r>
              <w:rPr>
                <w:rFonts w:hint="eastAsia" w:ascii="仿宋" w:hAnsi="仿宋" w:eastAsia="仿宋" w:cs="仿宋"/>
                <w:b/>
                <w:bCs/>
                <w:i w:val="0"/>
                <w:iCs w:val="0"/>
                <w:color w:val="auto"/>
                <w:kern w:val="0"/>
                <w:sz w:val="32"/>
                <w:szCs w:val="32"/>
                <w:u w:val="none"/>
                <w:lang w:val="en-US" w:eastAsia="zh-CN" w:bidi="ar"/>
              </w:rPr>
              <w:t>县别</w:t>
            </w:r>
          </w:p>
        </w:tc>
        <w:tc>
          <w:tcPr>
            <w:tcW w:w="3570" w:type="dxa"/>
            <w:vAlign w:val="center"/>
          </w:tcPr>
          <w:p w14:paraId="1663C82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仿宋_GB2312" w:hAnsi="Calibri" w:eastAsia="仿宋_GB2312" w:cs="仿宋_GB2312"/>
                <w:b/>
                <w:bCs/>
                <w:color w:val="auto"/>
                <w:sz w:val="32"/>
                <w:szCs w:val="32"/>
                <w:vertAlign w:val="baseline"/>
                <w:lang w:val="en-US" w:eastAsia="zh-CN"/>
              </w:rPr>
            </w:pPr>
            <w:r>
              <w:rPr>
                <w:rFonts w:hint="eastAsia" w:ascii="仿宋" w:hAnsi="仿宋" w:eastAsia="仿宋" w:cs="仿宋"/>
                <w:b/>
                <w:bCs/>
                <w:i w:val="0"/>
                <w:iCs w:val="0"/>
                <w:color w:val="auto"/>
                <w:kern w:val="0"/>
                <w:sz w:val="32"/>
                <w:szCs w:val="32"/>
                <w:u w:val="none"/>
                <w:lang w:val="en-US" w:eastAsia="zh-CN" w:bidi="ar"/>
              </w:rPr>
              <w:t>能繁母猪保有量（头）</w:t>
            </w:r>
          </w:p>
        </w:tc>
        <w:tc>
          <w:tcPr>
            <w:tcW w:w="3128" w:type="dxa"/>
            <w:vAlign w:val="center"/>
          </w:tcPr>
          <w:p w14:paraId="2FE6746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Calibri" w:eastAsia="仿宋_GB2312" w:cs="仿宋_GB2312"/>
                <w:b/>
                <w:bCs/>
                <w:color w:val="auto"/>
                <w:sz w:val="32"/>
                <w:szCs w:val="32"/>
                <w:vertAlign w:val="baseline"/>
                <w:lang w:val="en-US" w:eastAsia="zh-CN"/>
              </w:rPr>
            </w:pPr>
            <w:r>
              <w:rPr>
                <w:rFonts w:hint="eastAsia" w:ascii="仿宋" w:hAnsi="仿宋" w:eastAsia="仿宋" w:cs="仿宋"/>
                <w:b/>
                <w:bCs/>
                <w:i w:val="0"/>
                <w:iCs w:val="0"/>
                <w:color w:val="auto"/>
                <w:kern w:val="0"/>
                <w:sz w:val="32"/>
                <w:szCs w:val="32"/>
                <w:u w:val="none"/>
                <w:lang w:val="en-US" w:eastAsia="zh-CN" w:bidi="ar"/>
              </w:rPr>
              <w:t>规模猪场保有量（个）</w:t>
            </w:r>
          </w:p>
        </w:tc>
      </w:tr>
      <w:tr w14:paraId="30130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4" w:type="dxa"/>
            <w:vAlign w:val="center"/>
          </w:tcPr>
          <w:p w14:paraId="08ED26A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Calibri" w:eastAsia="仿宋_GB2312" w:cs="仿宋_GB2312"/>
                <w:color w:val="auto"/>
                <w:sz w:val="32"/>
                <w:szCs w:val="32"/>
                <w:vertAlign w:val="baseline"/>
                <w:lang w:val="en-US" w:eastAsia="zh-CN"/>
              </w:rPr>
            </w:pPr>
            <w:r>
              <w:rPr>
                <w:rFonts w:hint="eastAsia" w:ascii="仿宋" w:hAnsi="仿宋" w:eastAsia="仿宋" w:cs="仿宋"/>
                <w:i w:val="0"/>
                <w:iCs w:val="0"/>
                <w:color w:val="auto"/>
                <w:kern w:val="0"/>
                <w:sz w:val="32"/>
                <w:szCs w:val="32"/>
                <w:u w:val="none"/>
                <w:lang w:val="en-US" w:eastAsia="zh-CN" w:bidi="ar"/>
              </w:rPr>
              <w:t>三元区</w:t>
            </w:r>
          </w:p>
        </w:tc>
        <w:tc>
          <w:tcPr>
            <w:tcW w:w="3570" w:type="dxa"/>
            <w:vAlign w:val="center"/>
          </w:tcPr>
          <w:p w14:paraId="11FC7F6F">
            <w:pPr>
              <w:keepNext w:val="0"/>
              <w:keepLines w:val="0"/>
              <w:widowControl/>
              <w:suppressLineNumbers w:val="0"/>
              <w:jc w:val="center"/>
              <w:textAlignment w:val="center"/>
              <w:rPr>
                <w:rFonts w:hint="default" w:ascii="仿宋_GB2312" w:hAnsi="Calibri" w:eastAsia="仿宋_GB2312" w:cs="仿宋_GB2312"/>
                <w:color w:val="auto"/>
                <w:sz w:val="32"/>
                <w:szCs w:val="32"/>
                <w:vertAlign w:val="baseline"/>
                <w:lang w:val="en-US" w:eastAsia="zh-CN"/>
              </w:rPr>
            </w:pPr>
            <w:r>
              <w:rPr>
                <w:rFonts w:hint="eastAsia" w:ascii="仿宋" w:hAnsi="仿宋" w:eastAsia="仿宋" w:cs="仿宋"/>
                <w:i w:val="0"/>
                <w:iCs w:val="0"/>
                <w:color w:val="auto"/>
                <w:kern w:val="0"/>
                <w:sz w:val="32"/>
                <w:szCs w:val="32"/>
                <w:u w:val="none"/>
                <w:lang w:val="en-US" w:eastAsia="zh-CN" w:bidi="ar"/>
              </w:rPr>
              <w:t>16360</w:t>
            </w:r>
          </w:p>
        </w:tc>
        <w:tc>
          <w:tcPr>
            <w:tcW w:w="3128" w:type="dxa"/>
            <w:vAlign w:val="center"/>
          </w:tcPr>
          <w:p w14:paraId="3FE043F0">
            <w:pPr>
              <w:keepNext w:val="0"/>
              <w:keepLines w:val="0"/>
              <w:widowControl/>
              <w:suppressLineNumbers w:val="0"/>
              <w:jc w:val="center"/>
              <w:textAlignment w:val="center"/>
              <w:rPr>
                <w:rFonts w:hint="eastAsia" w:ascii="仿宋_GB2312" w:hAnsi="Calibri" w:eastAsia="仿宋_GB2312" w:cs="仿宋_GB2312"/>
                <w:color w:val="auto"/>
                <w:sz w:val="32"/>
                <w:szCs w:val="32"/>
                <w:vertAlign w:val="baseline"/>
                <w:lang w:val="en-US" w:eastAsia="zh-CN"/>
              </w:rPr>
            </w:pPr>
            <w:r>
              <w:rPr>
                <w:rFonts w:hint="default" w:ascii="仿宋_GB2312" w:hAnsi="宋体" w:eastAsia="仿宋_GB2312" w:cs="仿宋_GB2312"/>
                <w:i w:val="0"/>
                <w:iCs w:val="0"/>
                <w:color w:val="auto"/>
                <w:kern w:val="0"/>
                <w:sz w:val="32"/>
                <w:szCs w:val="32"/>
                <w:u w:val="none"/>
                <w:lang w:val="en-US" w:eastAsia="zh-CN" w:bidi="ar"/>
              </w:rPr>
              <w:t>55</w:t>
            </w:r>
          </w:p>
        </w:tc>
      </w:tr>
      <w:tr w14:paraId="297F6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4" w:type="dxa"/>
            <w:vAlign w:val="center"/>
          </w:tcPr>
          <w:p w14:paraId="02B0967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Calibri" w:eastAsia="仿宋_GB2312" w:cs="仿宋_GB2312"/>
                <w:color w:val="auto"/>
                <w:sz w:val="32"/>
                <w:szCs w:val="32"/>
                <w:vertAlign w:val="baseline"/>
                <w:lang w:val="en-US" w:eastAsia="zh-CN"/>
              </w:rPr>
            </w:pPr>
            <w:r>
              <w:rPr>
                <w:rFonts w:hint="eastAsia" w:ascii="仿宋" w:hAnsi="仿宋" w:eastAsia="仿宋" w:cs="仿宋"/>
                <w:i w:val="0"/>
                <w:iCs w:val="0"/>
                <w:color w:val="auto"/>
                <w:kern w:val="0"/>
                <w:sz w:val="32"/>
                <w:szCs w:val="32"/>
                <w:u w:val="none"/>
                <w:lang w:val="en-US" w:eastAsia="zh-CN" w:bidi="ar"/>
              </w:rPr>
              <w:t>明溪县</w:t>
            </w:r>
          </w:p>
        </w:tc>
        <w:tc>
          <w:tcPr>
            <w:tcW w:w="3570" w:type="dxa"/>
            <w:vAlign w:val="center"/>
          </w:tcPr>
          <w:p w14:paraId="4D0E2F74">
            <w:pPr>
              <w:keepNext w:val="0"/>
              <w:keepLines w:val="0"/>
              <w:widowControl/>
              <w:suppressLineNumbers w:val="0"/>
              <w:jc w:val="center"/>
              <w:textAlignment w:val="center"/>
              <w:rPr>
                <w:rFonts w:hint="default" w:ascii="仿宋_GB2312" w:hAnsi="Calibri" w:eastAsia="仿宋_GB2312" w:cs="仿宋_GB2312"/>
                <w:color w:val="auto"/>
                <w:sz w:val="32"/>
                <w:szCs w:val="32"/>
                <w:vertAlign w:val="baseline"/>
                <w:lang w:val="en-US" w:eastAsia="zh-CN"/>
              </w:rPr>
            </w:pPr>
            <w:r>
              <w:rPr>
                <w:rFonts w:hint="eastAsia" w:ascii="仿宋" w:hAnsi="仿宋" w:eastAsia="仿宋" w:cs="仿宋"/>
                <w:i w:val="0"/>
                <w:iCs w:val="0"/>
                <w:color w:val="auto"/>
                <w:kern w:val="0"/>
                <w:sz w:val="32"/>
                <w:szCs w:val="32"/>
                <w:u w:val="none"/>
                <w:lang w:val="en-US" w:eastAsia="zh-CN" w:bidi="ar"/>
              </w:rPr>
              <w:t>4958</w:t>
            </w:r>
          </w:p>
        </w:tc>
        <w:tc>
          <w:tcPr>
            <w:tcW w:w="3128" w:type="dxa"/>
            <w:vAlign w:val="center"/>
          </w:tcPr>
          <w:p w14:paraId="4975F3BB">
            <w:pPr>
              <w:keepNext w:val="0"/>
              <w:keepLines w:val="0"/>
              <w:widowControl/>
              <w:suppressLineNumbers w:val="0"/>
              <w:jc w:val="center"/>
              <w:textAlignment w:val="center"/>
              <w:rPr>
                <w:rFonts w:hint="eastAsia" w:ascii="仿宋_GB2312" w:hAnsi="Calibri" w:eastAsia="仿宋_GB2312" w:cs="仿宋_GB2312"/>
                <w:color w:val="auto"/>
                <w:sz w:val="32"/>
                <w:szCs w:val="32"/>
                <w:vertAlign w:val="baseline"/>
                <w:lang w:val="en-US" w:eastAsia="zh-CN"/>
              </w:rPr>
            </w:pPr>
            <w:r>
              <w:rPr>
                <w:rFonts w:hint="default" w:ascii="仿宋_GB2312" w:hAnsi="宋体" w:eastAsia="仿宋_GB2312" w:cs="仿宋_GB2312"/>
                <w:i w:val="0"/>
                <w:iCs w:val="0"/>
                <w:color w:val="auto"/>
                <w:kern w:val="0"/>
                <w:sz w:val="32"/>
                <w:szCs w:val="32"/>
                <w:u w:val="none"/>
                <w:lang w:val="en-US" w:eastAsia="zh-CN" w:bidi="ar"/>
              </w:rPr>
              <w:t>11</w:t>
            </w:r>
          </w:p>
        </w:tc>
      </w:tr>
      <w:tr w14:paraId="4BE4B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4" w:type="dxa"/>
            <w:vAlign w:val="center"/>
          </w:tcPr>
          <w:p w14:paraId="58728EA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Calibri" w:eastAsia="仿宋_GB2312" w:cs="仿宋_GB2312"/>
                <w:color w:val="auto"/>
                <w:sz w:val="32"/>
                <w:szCs w:val="32"/>
                <w:vertAlign w:val="baseline"/>
                <w:lang w:val="en-US" w:eastAsia="zh-CN"/>
              </w:rPr>
            </w:pPr>
            <w:r>
              <w:rPr>
                <w:rFonts w:hint="eastAsia" w:ascii="仿宋" w:hAnsi="仿宋" w:eastAsia="仿宋" w:cs="仿宋"/>
                <w:i w:val="0"/>
                <w:iCs w:val="0"/>
                <w:color w:val="auto"/>
                <w:kern w:val="0"/>
                <w:sz w:val="32"/>
                <w:szCs w:val="32"/>
                <w:u w:val="none"/>
                <w:lang w:val="en-US" w:eastAsia="zh-CN" w:bidi="ar"/>
              </w:rPr>
              <w:t>宁化县</w:t>
            </w:r>
          </w:p>
        </w:tc>
        <w:tc>
          <w:tcPr>
            <w:tcW w:w="3570" w:type="dxa"/>
            <w:vAlign w:val="center"/>
          </w:tcPr>
          <w:p w14:paraId="4E483C0C">
            <w:pPr>
              <w:keepNext w:val="0"/>
              <w:keepLines w:val="0"/>
              <w:widowControl/>
              <w:suppressLineNumbers w:val="0"/>
              <w:jc w:val="center"/>
              <w:textAlignment w:val="center"/>
              <w:rPr>
                <w:rFonts w:hint="eastAsia" w:ascii="仿宋_GB2312" w:hAnsi="Calibri" w:eastAsia="仿宋_GB2312" w:cs="仿宋_GB2312"/>
                <w:color w:val="auto"/>
                <w:sz w:val="32"/>
                <w:szCs w:val="32"/>
                <w:vertAlign w:val="baseline"/>
                <w:lang w:val="en-US" w:eastAsia="zh-CN"/>
              </w:rPr>
            </w:pPr>
            <w:r>
              <w:rPr>
                <w:rFonts w:hint="eastAsia" w:ascii="仿宋" w:hAnsi="仿宋" w:eastAsia="仿宋" w:cs="仿宋"/>
                <w:i w:val="0"/>
                <w:iCs w:val="0"/>
                <w:color w:val="auto"/>
                <w:kern w:val="0"/>
                <w:sz w:val="32"/>
                <w:szCs w:val="32"/>
                <w:u w:val="none"/>
                <w:lang w:val="en-US" w:eastAsia="zh-CN" w:bidi="ar"/>
              </w:rPr>
              <w:t>9420</w:t>
            </w:r>
          </w:p>
        </w:tc>
        <w:tc>
          <w:tcPr>
            <w:tcW w:w="3128" w:type="dxa"/>
            <w:vAlign w:val="center"/>
          </w:tcPr>
          <w:p w14:paraId="34E3DCD0">
            <w:pPr>
              <w:keepNext w:val="0"/>
              <w:keepLines w:val="0"/>
              <w:widowControl/>
              <w:suppressLineNumbers w:val="0"/>
              <w:jc w:val="center"/>
              <w:textAlignment w:val="center"/>
              <w:rPr>
                <w:rFonts w:hint="eastAsia" w:ascii="仿宋_GB2312" w:hAnsi="Calibri" w:eastAsia="仿宋_GB2312" w:cs="仿宋_GB2312"/>
                <w:color w:val="auto"/>
                <w:sz w:val="32"/>
                <w:szCs w:val="32"/>
                <w:vertAlign w:val="baseline"/>
                <w:lang w:val="en-US" w:eastAsia="zh-CN"/>
              </w:rPr>
            </w:pPr>
            <w:r>
              <w:rPr>
                <w:rFonts w:hint="default" w:ascii="仿宋_GB2312" w:hAnsi="宋体" w:eastAsia="仿宋_GB2312" w:cs="仿宋_GB2312"/>
                <w:i w:val="0"/>
                <w:iCs w:val="0"/>
                <w:color w:val="auto"/>
                <w:kern w:val="0"/>
                <w:sz w:val="32"/>
                <w:szCs w:val="32"/>
                <w:u w:val="none"/>
                <w:lang w:val="en-US" w:eastAsia="zh-CN" w:bidi="ar"/>
              </w:rPr>
              <w:t>25</w:t>
            </w:r>
          </w:p>
        </w:tc>
      </w:tr>
      <w:tr w14:paraId="6D564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4" w:type="dxa"/>
            <w:vAlign w:val="center"/>
          </w:tcPr>
          <w:p w14:paraId="1976487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Calibri" w:eastAsia="仿宋_GB2312" w:cs="仿宋_GB2312"/>
                <w:color w:val="auto"/>
                <w:sz w:val="32"/>
                <w:szCs w:val="32"/>
                <w:vertAlign w:val="baseline"/>
                <w:lang w:val="en-US" w:eastAsia="zh-CN"/>
              </w:rPr>
            </w:pPr>
            <w:r>
              <w:rPr>
                <w:rFonts w:hint="eastAsia" w:ascii="仿宋" w:hAnsi="仿宋" w:eastAsia="仿宋" w:cs="仿宋"/>
                <w:i w:val="0"/>
                <w:iCs w:val="0"/>
                <w:color w:val="auto"/>
                <w:kern w:val="0"/>
                <w:sz w:val="32"/>
                <w:szCs w:val="32"/>
                <w:u w:val="none"/>
                <w:lang w:val="en-US" w:eastAsia="zh-CN" w:bidi="ar"/>
              </w:rPr>
              <w:t>清流县</w:t>
            </w:r>
          </w:p>
        </w:tc>
        <w:tc>
          <w:tcPr>
            <w:tcW w:w="3570" w:type="dxa"/>
            <w:vAlign w:val="center"/>
          </w:tcPr>
          <w:p w14:paraId="32F3FDF7">
            <w:pPr>
              <w:keepNext w:val="0"/>
              <w:keepLines w:val="0"/>
              <w:widowControl/>
              <w:suppressLineNumbers w:val="0"/>
              <w:jc w:val="center"/>
              <w:textAlignment w:val="center"/>
              <w:rPr>
                <w:rFonts w:hint="eastAsia" w:ascii="仿宋_GB2312" w:hAnsi="Calibri" w:eastAsia="仿宋_GB2312" w:cs="仿宋_GB2312"/>
                <w:color w:val="auto"/>
                <w:sz w:val="32"/>
                <w:szCs w:val="32"/>
                <w:vertAlign w:val="baseline"/>
                <w:lang w:val="en-US" w:eastAsia="zh-CN"/>
              </w:rPr>
            </w:pPr>
            <w:r>
              <w:rPr>
                <w:rFonts w:hint="eastAsia" w:ascii="仿宋" w:hAnsi="仿宋" w:eastAsia="仿宋" w:cs="仿宋"/>
                <w:i w:val="0"/>
                <w:iCs w:val="0"/>
                <w:color w:val="auto"/>
                <w:kern w:val="0"/>
                <w:sz w:val="32"/>
                <w:szCs w:val="32"/>
                <w:u w:val="none"/>
                <w:lang w:val="en-US" w:eastAsia="zh-CN" w:bidi="ar"/>
              </w:rPr>
              <w:t>7932</w:t>
            </w:r>
          </w:p>
        </w:tc>
        <w:tc>
          <w:tcPr>
            <w:tcW w:w="3128" w:type="dxa"/>
            <w:vAlign w:val="center"/>
          </w:tcPr>
          <w:p w14:paraId="0CAC02BD">
            <w:pPr>
              <w:keepNext w:val="0"/>
              <w:keepLines w:val="0"/>
              <w:widowControl/>
              <w:suppressLineNumbers w:val="0"/>
              <w:jc w:val="center"/>
              <w:textAlignment w:val="center"/>
              <w:rPr>
                <w:rFonts w:hint="eastAsia" w:ascii="仿宋_GB2312" w:hAnsi="Calibri" w:eastAsia="仿宋_GB2312" w:cs="仿宋_GB2312"/>
                <w:color w:val="auto"/>
                <w:sz w:val="32"/>
                <w:szCs w:val="32"/>
                <w:vertAlign w:val="baseline"/>
                <w:lang w:val="en-US" w:eastAsia="zh-CN"/>
              </w:rPr>
            </w:pPr>
            <w:r>
              <w:rPr>
                <w:rFonts w:hint="default" w:ascii="仿宋_GB2312" w:hAnsi="宋体" w:eastAsia="仿宋_GB2312" w:cs="仿宋_GB2312"/>
                <w:i w:val="0"/>
                <w:iCs w:val="0"/>
                <w:color w:val="auto"/>
                <w:kern w:val="0"/>
                <w:sz w:val="32"/>
                <w:szCs w:val="32"/>
                <w:u w:val="none"/>
                <w:lang w:val="en-US" w:eastAsia="zh-CN" w:bidi="ar"/>
              </w:rPr>
              <w:t>57</w:t>
            </w:r>
          </w:p>
        </w:tc>
      </w:tr>
      <w:tr w14:paraId="48574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4" w:type="dxa"/>
            <w:vAlign w:val="center"/>
          </w:tcPr>
          <w:p w14:paraId="109316A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Calibri" w:eastAsia="仿宋_GB2312" w:cs="仿宋_GB2312"/>
                <w:color w:val="auto"/>
                <w:sz w:val="32"/>
                <w:szCs w:val="32"/>
                <w:vertAlign w:val="baseline"/>
                <w:lang w:val="en-US" w:eastAsia="zh-CN"/>
              </w:rPr>
            </w:pPr>
            <w:r>
              <w:rPr>
                <w:rFonts w:hint="eastAsia" w:ascii="仿宋" w:hAnsi="仿宋" w:eastAsia="仿宋" w:cs="仿宋"/>
                <w:i w:val="0"/>
                <w:iCs w:val="0"/>
                <w:color w:val="auto"/>
                <w:kern w:val="0"/>
                <w:sz w:val="32"/>
                <w:szCs w:val="32"/>
                <w:u w:val="none"/>
                <w:lang w:val="en-US" w:eastAsia="zh-CN" w:bidi="ar"/>
              </w:rPr>
              <w:t>永安县</w:t>
            </w:r>
          </w:p>
        </w:tc>
        <w:tc>
          <w:tcPr>
            <w:tcW w:w="3570" w:type="dxa"/>
            <w:vAlign w:val="center"/>
          </w:tcPr>
          <w:p w14:paraId="35264F88">
            <w:pPr>
              <w:keepNext w:val="0"/>
              <w:keepLines w:val="0"/>
              <w:widowControl/>
              <w:suppressLineNumbers w:val="0"/>
              <w:jc w:val="center"/>
              <w:textAlignment w:val="center"/>
              <w:rPr>
                <w:rFonts w:hint="eastAsia" w:ascii="仿宋_GB2312" w:hAnsi="Calibri" w:eastAsia="仿宋_GB2312" w:cs="仿宋_GB2312"/>
                <w:color w:val="auto"/>
                <w:sz w:val="32"/>
                <w:szCs w:val="32"/>
                <w:vertAlign w:val="baseline"/>
                <w:lang w:val="en-US" w:eastAsia="zh-CN"/>
              </w:rPr>
            </w:pPr>
            <w:r>
              <w:rPr>
                <w:rFonts w:hint="eastAsia" w:ascii="仿宋" w:hAnsi="仿宋" w:eastAsia="仿宋" w:cs="仿宋"/>
                <w:i w:val="0"/>
                <w:iCs w:val="0"/>
                <w:color w:val="auto"/>
                <w:kern w:val="0"/>
                <w:sz w:val="32"/>
                <w:szCs w:val="32"/>
                <w:u w:val="none"/>
                <w:lang w:val="en-US" w:eastAsia="zh-CN" w:bidi="ar"/>
              </w:rPr>
              <w:t>11898</w:t>
            </w:r>
          </w:p>
        </w:tc>
        <w:tc>
          <w:tcPr>
            <w:tcW w:w="3128" w:type="dxa"/>
            <w:vAlign w:val="center"/>
          </w:tcPr>
          <w:p w14:paraId="2541457E">
            <w:pPr>
              <w:keepNext w:val="0"/>
              <w:keepLines w:val="0"/>
              <w:widowControl/>
              <w:suppressLineNumbers w:val="0"/>
              <w:jc w:val="center"/>
              <w:textAlignment w:val="center"/>
              <w:rPr>
                <w:rFonts w:hint="eastAsia" w:ascii="仿宋_GB2312" w:hAnsi="Calibri" w:eastAsia="仿宋_GB2312" w:cs="仿宋_GB2312"/>
                <w:color w:val="auto"/>
                <w:sz w:val="32"/>
                <w:szCs w:val="32"/>
                <w:vertAlign w:val="baseline"/>
                <w:lang w:val="en-US" w:eastAsia="zh-CN"/>
              </w:rPr>
            </w:pPr>
            <w:r>
              <w:rPr>
                <w:rFonts w:hint="default" w:ascii="仿宋_GB2312" w:hAnsi="宋体" w:eastAsia="仿宋_GB2312" w:cs="仿宋_GB2312"/>
                <w:i w:val="0"/>
                <w:iCs w:val="0"/>
                <w:color w:val="auto"/>
                <w:kern w:val="0"/>
                <w:sz w:val="32"/>
                <w:szCs w:val="32"/>
                <w:u w:val="none"/>
                <w:lang w:val="en-US" w:eastAsia="zh-CN" w:bidi="ar"/>
              </w:rPr>
              <w:t>38</w:t>
            </w:r>
          </w:p>
        </w:tc>
      </w:tr>
      <w:tr w14:paraId="0C57B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4" w:type="dxa"/>
            <w:vAlign w:val="center"/>
          </w:tcPr>
          <w:p w14:paraId="3A71A77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Calibri" w:eastAsia="仿宋_GB2312" w:cs="仿宋_GB2312"/>
                <w:color w:val="auto"/>
                <w:sz w:val="32"/>
                <w:szCs w:val="32"/>
                <w:vertAlign w:val="baseline"/>
                <w:lang w:val="en-US" w:eastAsia="zh-CN"/>
              </w:rPr>
            </w:pPr>
            <w:r>
              <w:rPr>
                <w:rFonts w:hint="eastAsia" w:ascii="仿宋" w:hAnsi="仿宋" w:eastAsia="仿宋" w:cs="仿宋"/>
                <w:i w:val="0"/>
                <w:iCs w:val="0"/>
                <w:color w:val="auto"/>
                <w:kern w:val="0"/>
                <w:sz w:val="32"/>
                <w:szCs w:val="32"/>
                <w:u w:val="none"/>
                <w:lang w:val="en-US" w:eastAsia="zh-CN" w:bidi="ar"/>
              </w:rPr>
              <w:t>大田县</w:t>
            </w:r>
          </w:p>
        </w:tc>
        <w:tc>
          <w:tcPr>
            <w:tcW w:w="3570" w:type="dxa"/>
            <w:vAlign w:val="center"/>
          </w:tcPr>
          <w:p w14:paraId="61522CA0">
            <w:pPr>
              <w:keepNext w:val="0"/>
              <w:keepLines w:val="0"/>
              <w:widowControl/>
              <w:suppressLineNumbers w:val="0"/>
              <w:jc w:val="center"/>
              <w:textAlignment w:val="center"/>
              <w:rPr>
                <w:rFonts w:hint="eastAsia" w:ascii="仿宋_GB2312" w:hAnsi="Calibri" w:eastAsia="仿宋_GB2312" w:cs="仿宋_GB2312"/>
                <w:color w:val="auto"/>
                <w:sz w:val="32"/>
                <w:szCs w:val="32"/>
                <w:vertAlign w:val="baseline"/>
                <w:lang w:val="en-US" w:eastAsia="zh-CN"/>
              </w:rPr>
            </w:pPr>
            <w:r>
              <w:rPr>
                <w:rFonts w:hint="eastAsia" w:ascii="仿宋" w:hAnsi="仿宋" w:eastAsia="仿宋" w:cs="仿宋"/>
                <w:i w:val="0"/>
                <w:iCs w:val="0"/>
                <w:color w:val="auto"/>
                <w:kern w:val="0"/>
                <w:sz w:val="32"/>
                <w:szCs w:val="32"/>
                <w:u w:val="none"/>
                <w:lang w:val="en-US" w:eastAsia="zh-CN" w:bidi="ar"/>
              </w:rPr>
              <w:t>11898</w:t>
            </w:r>
          </w:p>
        </w:tc>
        <w:tc>
          <w:tcPr>
            <w:tcW w:w="3128" w:type="dxa"/>
            <w:vAlign w:val="center"/>
          </w:tcPr>
          <w:p w14:paraId="2EEDC869">
            <w:pPr>
              <w:keepNext w:val="0"/>
              <w:keepLines w:val="0"/>
              <w:widowControl/>
              <w:suppressLineNumbers w:val="0"/>
              <w:jc w:val="center"/>
              <w:textAlignment w:val="center"/>
              <w:rPr>
                <w:rFonts w:hint="eastAsia" w:ascii="仿宋_GB2312" w:hAnsi="Calibri" w:eastAsia="仿宋_GB2312" w:cs="仿宋_GB2312"/>
                <w:color w:val="auto"/>
                <w:sz w:val="32"/>
                <w:szCs w:val="32"/>
                <w:vertAlign w:val="baseline"/>
                <w:lang w:val="en-US" w:eastAsia="zh-CN"/>
              </w:rPr>
            </w:pPr>
            <w:r>
              <w:rPr>
                <w:rFonts w:hint="default" w:ascii="仿宋_GB2312" w:hAnsi="宋体" w:eastAsia="仿宋_GB2312" w:cs="仿宋_GB2312"/>
                <w:i w:val="0"/>
                <w:iCs w:val="0"/>
                <w:color w:val="auto"/>
                <w:kern w:val="0"/>
                <w:sz w:val="32"/>
                <w:szCs w:val="32"/>
                <w:u w:val="none"/>
                <w:lang w:val="en-US" w:eastAsia="zh-CN" w:bidi="ar"/>
              </w:rPr>
              <w:t>33</w:t>
            </w:r>
          </w:p>
        </w:tc>
      </w:tr>
      <w:tr w14:paraId="239FD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4" w:type="dxa"/>
            <w:vAlign w:val="center"/>
          </w:tcPr>
          <w:p w14:paraId="22CFABB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Calibri" w:eastAsia="仿宋_GB2312" w:cs="仿宋_GB2312"/>
                <w:color w:val="auto"/>
                <w:sz w:val="32"/>
                <w:szCs w:val="32"/>
                <w:vertAlign w:val="baseline"/>
                <w:lang w:val="en-US" w:eastAsia="zh-CN"/>
              </w:rPr>
            </w:pPr>
            <w:r>
              <w:rPr>
                <w:rFonts w:hint="eastAsia" w:ascii="仿宋" w:hAnsi="仿宋" w:eastAsia="仿宋" w:cs="仿宋"/>
                <w:i w:val="0"/>
                <w:iCs w:val="0"/>
                <w:color w:val="auto"/>
                <w:kern w:val="0"/>
                <w:sz w:val="32"/>
                <w:szCs w:val="32"/>
                <w:u w:val="none"/>
                <w:lang w:val="en-US" w:eastAsia="zh-CN" w:bidi="ar"/>
              </w:rPr>
              <w:t>尤溪县</w:t>
            </w:r>
          </w:p>
        </w:tc>
        <w:tc>
          <w:tcPr>
            <w:tcW w:w="3570" w:type="dxa"/>
            <w:vAlign w:val="center"/>
          </w:tcPr>
          <w:p w14:paraId="67CE1F40">
            <w:pPr>
              <w:keepNext w:val="0"/>
              <w:keepLines w:val="0"/>
              <w:widowControl/>
              <w:suppressLineNumbers w:val="0"/>
              <w:jc w:val="center"/>
              <w:textAlignment w:val="center"/>
              <w:rPr>
                <w:rFonts w:hint="eastAsia" w:ascii="仿宋_GB2312" w:hAnsi="Calibri" w:eastAsia="仿宋_GB2312" w:cs="仿宋_GB2312"/>
                <w:color w:val="auto"/>
                <w:sz w:val="32"/>
                <w:szCs w:val="32"/>
                <w:vertAlign w:val="baseline"/>
                <w:lang w:val="en-US" w:eastAsia="zh-CN"/>
              </w:rPr>
            </w:pPr>
            <w:r>
              <w:rPr>
                <w:rFonts w:hint="eastAsia" w:ascii="仿宋" w:hAnsi="仿宋" w:eastAsia="仿宋" w:cs="仿宋"/>
                <w:i w:val="0"/>
                <w:iCs w:val="0"/>
                <w:color w:val="auto"/>
                <w:kern w:val="0"/>
                <w:sz w:val="32"/>
                <w:szCs w:val="32"/>
                <w:u w:val="none"/>
                <w:lang w:val="en-US" w:eastAsia="zh-CN" w:bidi="ar"/>
              </w:rPr>
              <w:t>19335</w:t>
            </w:r>
          </w:p>
        </w:tc>
        <w:tc>
          <w:tcPr>
            <w:tcW w:w="3128" w:type="dxa"/>
            <w:vAlign w:val="center"/>
          </w:tcPr>
          <w:p w14:paraId="46330884">
            <w:pPr>
              <w:keepNext w:val="0"/>
              <w:keepLines w:val="0"/>
              <w:widowControl/>
              <w:suppressLineNumbers w:val="0"/>
              <w:jc w:val="center"/>
              <w:textAlignment w:val="center"/>
              <w:rPr>
                <w:rFonts w:hint="eastAsia" w:ascii="仿宋_GB2312" w:hAnsi="Calibri" w:eastAsia="仿宋_GB2312" w:cs="仿宋_GB2312"/>
                <w:color w:val="auto"/>
                <w:sz w:val="32"/>
                <w:szCs w:val="32"/>
                <w:vertAlign w:val="baseline"/>
                <w:lang w:val="en-US" w:eastAsia="zh-CN"/>
              </w:rPr>
            </w:pPr>
            <w:r>
              <w:rPr>
                <w:rFonts w:hint="default" w:ascii="仿宋_GB2312" w:hAnsi="宋体" w:eastAsia="仿宋_GB2312" w:cs="仿宋_GB2312"/>
                <w:i w:val="0"/>
                <w:iCs w:val="0"/>
                <w:color w:val="auto"/>
                <w:kern w:val="0"/>
                <w:sz w:val="32"/>
                <w:szCs w:val="32"/>
                <w:u w:val="none"/>
                <w:lang w:val="en-US" w:eastAsia="zh-CN" w:bidi="ar"/>
              </w:rPr>
              <w:t>84</w:t>
            </w:r>
          </w:p>
        </w:tc>
      </w:tr>
      <w:tr w14:paraId="562D5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4" w:type="dxa"/>
            <w:vAlign w:val="center"/>
          </w:tcPr>
          <w:p w14:paraId="54B1E07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Calibri" w:eastAsia="仿宋_GB2312" w:cs="仿宋_GB2312"/>
                <w:color w:val="auto"/>
                <w:sz w:val="32"/>
                <w:szCs w:val="32"/>
                <w:vertAlign w:val="baseline"/>
                <w:lang w:val="en-US" w:eastAsia="zh-CN"/>
              </w:rPr>
            </w:pPr>
            <w:r>
              <w:rPr>
                <w:rFonts w:hint="eastAsia" w:ascii="仿宋" w:hAnsi="仿宋" w:eastAsia="仿宋" w:cs="仿宋"/>
                <w:i w:val="0"/>
                <w:iCs w:val="0"/>
                <w:color w:val="auto"/>
                <w:kern w:val="0"/>
                <w:sz w:val="32"/>
                <w:szCs w:val="32"/>
                <w:u w:val="none"/>
                <w:lang w:val="en-US" w:eastAsia="zh-CN" w:bidi="ar"/>
              </w:rPr>
              <w:t>沙县区</w:t>
            </w:r>
          </w:p>
        </w:tc>
        <w:tc>
          <w:tcPr>
            <w:tcW w:w="3570" w:type="dxa"/>
            <w:vAlign w:val="center"/>
          </w:tcPr>
          <w:p w14:paraId="713A6354">
            <w:pPr>
              <w:keepNext w:val="0"/>
              <w:keepLines w:val="0"/>
              <w:widowControl/>
              <w:suppressLineNumbers w:val="0"/>
              <w:jc w:val="center"/>
              <w:textAlignment w:val="center"/>
              <w:rPr>
                <w:rFonts w:hint="eastAsia" w:ascii="仿宋_GB2312" w:hAnsi="Calibri" w:eastAsia="仿宋_GB2312" w:cs="仿宋_GB2312"/>
                <w:color w:val="auto"/>
                <w:sz w:val="32"/>
                <w:szCs w:val="32"/>
                <w:vertAlign w:val="baseline"/>
                <w:lang w:val="en-US" w:eastAsia="zh-CN"/>
              </w:rPr>
            </w:pPr>
            <w:r>
              <w:rPr>
                <w:rFonts w:hint="eastAsia" w:ascii="仿宋" w:hAnsi="仿宋" w:eastAsia="仿宋" w:cs="仿宋"/>
                <w:i w:val="0"/>
                <w:iCs w:val="0"/>
                <w:color w:val="auto"/>
                <w:kern w:val="0"/>
                <w:sz w:val="32"/>
                <w:szCs w:val="32"/>
                <w:u w:val="none"/>
                <w:lang w:val="en-US" w:eastAsia="zh-CN" w:bidi="ar"/>
              </w:rPr>
              <w:t>17846</w:t>
            </w:r>
          </w:p>
        </w:tc>
        <w:tc>
          <w:tcPr>
            <w:tcW w:w="3128" w:type="dxa"/>
            <w:vAlign w:val="center"/>
          </w:tcPr>
          <w:p w14:paraId="25253307">
            <w:pPr>
              <w:keepNext w:val="0"/>
              <w:keepLines w:val="0"/>
              <w:widowControl/>
              <w:suppressLineNumbers w:val="0"/>
              <w:jc w:val="center"/>
              <w:textAlignment w:val="center"/>
              <w:rPr>
                <w:rFonts w:hint="eastAsia" w:ascii="仿宋_GB2312" w:hAnsi="Calibri" w:eastAsia="仿宋_GB2312" w:cs="仿宋_GB2312"/>
                <w:color w:val="auto"/>
                <w:sz w:val="32"/>
                <w:szCs w:val="32"/>
                <w:vertAlign w:val="baseline"/>
                <w:lang w:val="en-US" w:eastAsia="zh-CN"/>
              </w:rPr>
            </w:pPr>
            <w:r>
              <w:rPr>
                <w:rFonts w:hint="default" w:ascii="仿宋_GB2312" w:hAnsi="宋体" w:eastAsia="仿宋_GB2312" w:cs="仿宋_GB2312"/>
                <w:i w:val="0"/>
                <w:iCs w:val="0"/>
                <w:color w:val="auto"/>
                <w:kern w:val="0"/>
                <w:sz w:val="32"/>
                <w:szCs w:val="32"/>
                <w:u w:val="none"/>
                <w:lang w:val="en-US" w:eastAsia="zh-CN" w:bidi="ar"/>
              </w:rPr>
              <w:t>63</w:t>
            </w:r>
          </w:p>
        </w:tc>
      </w:tr>
      <w:tr w14:paraId="6E5F6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4" w:type="dxa"/>
            <w:vAlign w:val="center"/>
          </w:tcPr>
          <w:p w14:paraId="7C35013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Calibri" w:eastAsia="仿宋_GB2312" w:cs="仿宋_GB2312"/>
                <w:color w:val="auto"/>
                <w:sz w:val="32"/>
                <w:szCs w:val="32"/>
                <w:vertAlign w:val="baseline"/>
                <w:lang w:val="en-US" w:eastAsia="zh-CN"/>
              </w:rPr>
            </w:pPr>
            <w:r>
              <w:rPr>
                <w:rFonts w:hint="eastAsia" w:ascii="仿宋" w:hAnsi="仿宋" w:eastAsia="仿宋" w:cs="仿宋"/>
                <w:i w:val="0"/>
                <w:iCs w:val="0"/>
                <w:color w:val="auto"/>
                <w:kern w:val="0"/>
                <w:sz w:val="32"/>
                <w:szCs w:val="32"/>
                <w:u w:val="none"/>
                <w:lang w:val="en-US" w:eastAsia="zh-CN" w:bidi="ar"/>
              </w:rPr>
              <w:t>将乐县</w:t>
            </w:r>
          </w:p>
        </w:tc>
        <w:tc>
          <w:tcPr>
            <w:tcW w:w="3570" w:type="dxa"/>
            <w:vAlign w:val="center"/>
          </w:tcPr>
          <w:p w14:paraId="63BD4F6F">
            <w:pPr>
              <w:keepNext w:val="0"/>
              <w:keepLines w:val="0"/>
              <w:widowControl/>
              <w:suppressLineNumbers w:val="0"/>
              <w:jc w:val="center"/>
              <w:textAlignment w:val="center"/>
              <w:rPr>
                <w:rFonts w:hint="eastAsia" w:ascii="仿宋_GB2312" w:hAnsi="Calibri" w:eastAsia="仿宋_GB2312" w:cs="仿宋_GB2312"/>
                <w:color w:val="auto"/>
                <w:sz w:val="32"/>
                <w:szCs w:val="32"/>
                <w:vertAlign w:val="baseline"/>
                <w:lang w:val="en-US" w:eastAsia="zh-CN"/>
              </w:rPr>
            </w:pPr>
            <w:r>
              <w:rPr>
                <w:rFonts w:hint="eastAsia" w:ascii="仿宋" w:hAnsi="仿宋" w:eastAsia="仿宋" w:cs="仿宋"/>
                <w:i w:val="0"/>
                <w:iCs w:val="0"/>
                <w:color w:val="auto"/>
                <w:kern w:val="0"/>
                <w:sz w:val="32"/>
                <w:szCs w:val="32"/>
                <w:u w:val="none"/>
                <w:lang w:val="en-US" w:eastAsia="zh-CN" w:bidi="ar"/>
              </w:rPr>
              <w:t>4958</w:t>
            </w:r>
          </w:p>
        </w:tc>
        <w:tc>
          <w:tcPr>
            <w:tcW w:w="3128" w:type="dxa"/>
            <w:vAlign w:val="center"/>
          </w:tcPr>
          <w:p w14:paraId="41E899C6">
            <w:pPr>
              <w:keepNext w:val="0"/>
              <w:keepLines w:val="0"/>
              <w:widowControl/>
              <w:suppressLineNumbers w:val="0"/>
              <w:jc w:val="center"/>
              <w:textAlignment w:val="center"/>
              <w:rPr>
                <w:rFonts w:hint="eastAsia" w:ascii="仿宋_GB2312" w:hAnsi="Calibri" w:eastAsia="仿宋_GB2312" w:cs="仿宋_GB2312"/>
                <w:color w:val="auto"/>
                <w:sz w:val="32"/>
                <w:szCs w:val="32"/>
                <w:vertAlign w:val="baseline"/>
                <w:lang w:val="en-US" w:eastAsia="zh-CN"/>
              </w:rPr>
            </w:pPr>
            <w:r>
              <w:rPr>
                <w:rFonts w:hint="default" w:ascii="仿宋_GB2312" w:hAnsi="宋体" w:eastAsia="仿宋_GB2312" w:cs="仿宋_GB2312"/>
                <w:i w:val="0"/>
                <w:iCs w:val="0"/>
                <w:color w:val="auto"/>
                <w:kern w:val="0"/>
                <w:sz w:val="32"/>
                <w:szCs w:val="32"/>
                <w:u w:val="none"/>
                <w:lang w:val="en-US" w:eastAsia="zh-CN" w:bidi="ar"/>
              </w:rPr>
              <w:t>8</w:t>
            </w:r>
          </w:p>
        </w:tc>
      </w:tr>
      <w:tr w14:paraId="62D8C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4" w:type="dxa"/>
            <w:vAlign w:val="center"/>
          </w:tcPr>
          <w:p w14:paraId="037BB0E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Calibri" w:eastAsia="仿宋_GB2312" w:cs="仿宋_GB2312"/>
                <w:color w:val="auto"/>
                <w:sz w:val="32"/>
                <w:szCs w:val="32"/>
                <w:vertAlign w:val="baseline"/>
                <w:lang w:val="en-US" w:eastAsia="zh-CN"/>
              </w:rPr>
            </w:pPr>
            <w:r>
              <w:rPr>
                <w:rFonts w:hint="eastAsia" w:ascii="仿宋" w:hAnsi="仿宋" w:eastAsia="仿宋" w:cs="仿宋"/>
                <w:i w:val="0"/>
                <w:iCs w:val="0"/>
                <w:color w:val="auto"/>
                <w:kern w:val="0"/>
                <w:sz w:val="32"/>
                <w:szCs w:val="32"/>
                <w:u w:val="none"/>
                <w:lang w:val="en-US" w:eastAsia="zh-CN" w:bidi="ar"/>
              </w:rPr>
              <w:t>泰宁县</w:t>
            </w:r>
          </w:p>
        </w:tc>
        <w:tc>
          <w:tcPr>
            <w:tcW w:w="3570" w:type="dxa"/>
            <w:vAlign w:val="center"/>
          </w:tcPr>
          <w:p w14:paraId="7A96D78A">
            <w:pPr>
              <w:keepNext w:val="0"/>
              <w:keepLines w:val="0"/>
              <w:widowControl/>
              <w:suppressLineNumbers w:val="0"/>
              <w:jc w:val="center"/>
              <w:textAlignment w:val="center"/>
              <w:rPr>
                <w:rFonts w:hint="eastAsia" w:ascii="仿宋_GB2312" w:hAnsi="Calibri" w:eastAsia="仿宋_GB2312" w:cs="仿宋_GB2312"/>
                <w:color w:val="auto"/>
                <w:sz w:val="32"/>
                <w:szCs w:val="32"/>
                <w:vertAlign w:val="baseline"/>
                <w:lang w:val="en-US" w:eastAsia="zh-CN"/>
              </w:rPr>
            </w:pPr>
            <w:r>
              <w:rPr>
                <w:rFonts w:hint="eastAsia" w:ascii="仿宋" w:hAnsi="仿宋" w:eastAsia="仿宋" w:cs="仿宋"/>
                <w:i w:val="0"/>
                <w:iCs w:val="0"/>
                <w:color w:val="auto"/>
                <w:kern w:val="0"/>
                <w:sz w:val="32"/>
                <w:szCs w:val="32"/>
                <w:u w:val="none"/>
                <w:lang w:val="en-US" w:eastAsia="zh-CN" w:bidi="ar"/>
              </w:rPr>
              <w:t>5950</w:t>
            </w:r>
          </w:p>
        </w:tc>
        <w:tc>
          <w:tcPr>
            <w:tcW w:w="3128" w:type="dxa"/>
            <w:vAlign w:val="center"/>
          </w:tcPr>
          <w:p w14:paraId="2210D6E8">
            <w:pPr>
              <w:keepNext w:val="0"/>
              <w:keepLines w:val="0"/>
              <w:widowControl/>
              <w:suppressLineNumbers w:val="0"/>
              <w:jc w:val="center"/>
              <w:textAlignment w:val="center"/>
              <w:rPr>
                <w:rFonts w:hint="eastAsia" w:ascii="仿宋_GB2312" w:hAnsi="Calibri" w:eastAsia="仿宋_GB2312" w:cs="仿宋_GB2312"/>
                <w:color w:val="auto"/>
                <w:sz w:val="32"/>
                <w:szCs w:val="32"/>
                <w:vertAlign w:val="baseline"/>
                <w:lang w:val="en-US" w:eastAsia="zh-CN"/>
              </w:rPr>
            </w:pPr>
            <w:r>
              <w:rPr>
                <w:rFonts w:hint="default" w:ascii="仿宋_GB2312" w:hAnsi="宋体" w:eastAsia="仿宋_GB2312" w:cs="仿宋_GB2312"/>
                <w:i w:val="0"/>
                <w:iCs w:val="0"/>
                <w:color w:val="auto"/>
                <w:kern w:val="0"/>
                <w:sz w:val="32"/>
                <w:szCs w:val="32"/>
                <w:u w:val="none"/>
                <w:lang w:val="en-US" w:eastAsia="zh-CN" w:bidi="ar"/>
              </w:rPr>
              <w:t>17</w:t>
            </w:r>
          </w:p>
        </w:tc>
      </w:tr>
      <w:tr w14:paraId="2B4DF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4" w:type="dxa"/>
            <w:vAlign w:val="center"/>
          </w:tcPr>
          <w:p w14:paraId="4372946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Calibri" w:eastAsia="仿宋_GB2312" w:cs="仿宋_GB2312"/>
                <w:color w:val="auto"/>
                <w:sz w:val="32"/>
                <w:szCs w:val="32"/>
                <w:vertAlign w:val="baseline"/>
                <w:lang w:val="en-US" w:eastAsia="zh-CN"/>
              </w:rPr>
            </w:pPr>
            <w:r>
              <w:rPr>
                <w:rFonts w:hint="eastAsia" w:ascii="仿宋" w:hAnsi="仿宋" w:eastAsia="仿宋" w:cs="仿宋"/>
                <w:i w:val="0"/>
                <w:iCs w:val="0"/>
                <w:color w:val="auto"/>
                <w:kern w:val="0"/>
                <w:sz w:val="32"/>
                <w:szCs w:val="32"/>
                <w:u w:val="none"/>
                <w:lang w:val="en-US" w:eastAsia="zh-CN" w:bidi="ar"/>
              </w:rPr>
              <w:t>建宁县</w:t>
            </w:r>
          </w:p>
        </w:tc>
        <w:tc>
          <w:tcPr>
            <w:tcW w:w="3570" w:type="dxa"/>
            <w:vAlign w:val="center"/>
          </w:tcPr>
          <w:p w14:paraId="343AECC8">
            <w:pPr>
              <w:keepNext w:val="0"/>
              <w:keepLines w:val="0"/>
              <w:widowControl/>
              <w:suppressLineNumbers w:val="0"/>
              <w:jc w:val="center"/>
              <w:textAlignment w:val="center"/>
              <w:rPr>
                <w:rFonts w:hint="eastAsia" w:ascii="仿宋_GB2312" w:hAnsi="Calibri" w:eastAsia="仿宋_GB2312" w:cs="仿宋_GB2312"/>
                <w:color w:val="auto"/>
                <w:sz w:val="32"/>
                <w:szCs w:val="32"/>
                <w:vertAlign w:val="baseline"/>
                <w:lang w:val="en-US" w:eastAsia="zh-CN"/>
              </w:rPr>
            </w:pPr>
            <w:r>
              <w:rPr>
                <w:rFonts w:hint="eastAsia" w:ascii="仿宋" w:hAnsi="仿宋" w:eastAsia="仿宋" w:cs="仿宋"/>
                <w:i w:val="0"/>
                <w:iCs w:val="0"/>
                <w:color w:val="auto"/>
                <w:kern w:val="0"/>
                <w:sz w:val="32"/>
                <w:szCs w:val="32"/>
                <w:u w:val="none"/>
                <w:lang w:val="en-US" w:eastAsia="zh-CN" w:bidi="ar"/>
              </w:rPr>
              <w:t>6445</w:t>
            </w:r>
          </w:p>
        </w:tc>
        <w:tc>
          <w:tcPr>
            <w:tcW w:w="3128" w:type="dxa"/>
            <w:vAlign w:val="center"/>
          </w:tcPr>
          <w:p w14:paraId="795341CA">
            <w:pPr>
              <w:keepNext w:val="0"/>
              <w:keepLines w:val="0"/>
              <w:widowControl/>
              <w:suppressLineNumbers w:val="0"/>
              <w:jc w:val="center"/>
              <w:textAlignment w:val="center"/>
              <w:rPr>
                <w:rFonts w:hint="eastAsia" w:ascii="仿宋_GB2312" w:hAnsi="Calibri" w:eastAsia="仿宋_GB2312" w:cs="仿宋_GB2312"/>
                <w:color w:val="auto"/>
                <w:sz w:val="32"/>
                <w:szCs w:val="32"/>
                <w:vertAlign w:val="baseline"/>
                <w:lang w:val="en-US" w:eastAsia="zh-CN"/>
              </w:rPr>
            </w:pPr>
            <w:r>
              <w:rPr>
                <w:rFonts w:hint="default" w:ascii="仿宋_GB2312" w:hAnsi="宋体" w:eastAsia="仿宋_GB2312" w:cs="仿宋_GB2312"/>
                <w:i w:val="0"/>
                <w:iCs w:val="0"/>
                <w:color w:val="auto"/>
                <w:kern w:val="0"/>
                <w:sz w:val="32"/>
                <w:szCs w:val="32"/>
                <w:u w:val="none"/>
                <w:lang w:val="en-US" w:eastAsia="zh-CN" w:bidi="ar"/>
              </w:rPr>
              <w:t>9</w:t>
            </w:r>
          </w:p>
        </w:tc>
      </w:tr>
      <w:tr w14:paraId="50851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4" w:type="dxa"/>
            <w:vAlign w:val="center"/>
          </w:tcPr>
          <w:p w14:paraId="0EF240C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Calibri" w:eastAsia="仿宋_GB2312" w:cs="仿宋_GB2312"/>
                <w:color w:val="auto"/>
                <w:sz w:val="32"/>
                <w:szCs w:val="32"/>
                <w:vertAlign w:val="baseline"/>
                <w:lang w:val="en-US" w:eastAsia="zh-CN"/>
              </w:rPr>
            </w:pPr>
            <w:r>
              <w:rPr>
                <w:rFonts w:hint="eastAsia" w:ascii="仿宋" w:hAnsi="仿宋" w:eastAsia="仿宋" w:cs="仿宋"/>
                <w:i w:val="0"/>
                <w:iCs w:val="0"/>
                <w:color w:val="auto"/>
                <w:kern w:val="0"/>
                <w:sz w:val="32"/>
                <w:szCs w:val="32"/>
                <w:u w:val="none"/>
                <w:lang w:val="en-US" w:eastAsia="zh-CN" w:bidi="ar"/>
              </w:rPr>
              <w:t>合计</w:t>
            </w:r>
          </w:p>
        </w:tc>
        <w:tc>
          <w:tcPr>
            <w:tcW w:w="3570" w:type="dxa"/>
            <w:vAlign w:val="center"/>
          </w:tcPr>
          <w:p w14:paraId="34E46A41">
            <w:pPr>
              <w:keepNext w:val="0"/>
              <w:keepLines w:val="0"/>
              <w:widowControl/>
              <w:suppressLineNumbers w:val="0"/>
              <w:jc w:val="center"/>
              <w:textAlignment w:val="center"/>
              <w:rPr>
                <w:rFonts w:hint="default" w:ascii="仿宋_GB2312" w:hAnsi="Calibri" w:eastAsia="仿宋_GB2312" w:cs="仿宋_GB2312"/>
                <w:color w:val="auto"/>
                <w:sz w:val="32"/>
                <w:szCs w:val="32"/>
                <w:vertAlign w:val="baseline"/>
                <w:lang w:val="en-US" w:eastAsia="zh-CN"/>
              </w:rPr>
            </w:pPr>
            <w:r>
              <w:rPr>
                <w:rFonts w:hint="eastAsia" w:ascii="仿宋" w:hAnsi="仿宋" w:eastAsia="仿宋" w:cs="仿宋"/>
                <w:i w:val="0"/>
                <w:iCs w:val="0"/>
                <w:color w:val="auto"/>
                <w:kern w:val="0"/>
                <w:sz w:val="32"/>
                <w:szCs w:val="32"/>
                <w:u w:val="none"/>
                <w:lang w:val="en-US" w:eastAsia="zh-CN" w:bidi="ar"/>
              </w:rPr>
              <w:t>117000</w:t>
            </w:r>
          </w:p>
        </w:tc>
        <w:tc>
          <w:tcPr>
            <w:tcW w:w="3128" w:type="dxa"/>
            <w:vAlign w:val="center"/>
          </w:tcPr>
          <w:p w14:paraId="4965025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仿宋_GB2312" w:hAnsi="Calibri" w:eastAsia="仿宋_GB2312" w:cs="仿宋_GB2312"/>
                <w:color w:val="auto"/>
                <w:sz w:val="32"/>
                <w:szCs w:val="32"/>
                <w:vertAlign w:val="baseline"/>
                <w:lang w:val="en-US" w:eastAsia="zh-CN"/>
              </w:rPr>
            </w:pPr>
            <w:r>
              <w:rPr>
                <w:rFonts w:hint="eastAsia" w:ascii="仿宋_GB2312" w:hAnsi="Calibri" w:eastAsia="仿宋_GB2312" w:cs="仿宋_GB2312"/>
                <w:color w:val="auto"/>
                <w:sz w:val="32"/>
                <w:szCs w:val="32"/>
                <w:vertAlign w:val="baseline"/>
                <w:lang w:val="en-US" w:eastAsia="zh-CN"/>
              </w:rPr>
              <w:t>400</w:t>
            </w:r>
          </w:p>
        </w:tc>
      </w:tr>
    </w:tbl>
    <w:p w14:paraId="312D1B7C">
      <w:pPr>
        <w:keepNext w:val="0"/>
        <w:keepLines w:val="0"/>
        <w:pageBreakBefore w:val="0"/>
        <w:kinsoku/>
        <w:wordWrap/>
        <w:overflowPunct/>
        <w:topLinePunct w:val="0"/>
        <w:autoSpaceDE/>
        <w:autoSpaceDN/>
        <w:bidi w:val="0"/>
        <w:adjustRightInd/>
        <w:snapToGrid/>
        <w:spacing w:line="240" w:lineRule="auto"/>
        <w:rPr>
          <w:rFonts w:hint="eastAsia" w:ascii="仿宋_GB2312" w:hAnsi="Calibri" w:eastAsia="仿宋_GB2312" w:cs="仿宋_GB2312"/>
          <w:sz w:val="32"/>
          <w:szCs w:val="32"/>
          <w:lang w:val="en-US" w:eastAsia="zh-CN"/>
        </w:rPr>
      </w:pPr>
    </w:p>
    <w:p w14:paraId="64436B88">
      <w:pPr>
        <w:keepNext w:val="0"/>
        <w:keepLines w:val="0"/>
        <w:pageBreakBefore w:val="0"/>
        <w:kinsoku/>
        <w:wordWrap/>
        <w:overflowPunct/>
        <w:topLinePunct w:val="0"/>
        <w:autoSpaceDE/>
        <w:autoSpaceDN/>
        <w:bidi w:val="0"/>
        <w:adjustRightInd/>
        <w:snapToGrid/>
        <w:spacing w:line="240" w:lineRule="auto"/>
        <w:ind w:firstLine="643" w:firstLineChars="200"/>
        <w:rPr>
          <w:rFonts w:hint="default" w:ascii="楷体_GB2312" w:hAnsi="宋体" w:eastAsia="楷体_GB2312" w:cs="楷体_GB2312"/>
          <w:b/>
          <w:bCs/>
          <w:color w:val="000000"/>
          <w:kern w:val="0"/>
          <w:sz w:val="32"/>
          <w:szCs w:val="32"/>
          <w:lang w:val="en-US" w:eastAsia="zh-CN" w:bidi="ar"/>
        </w:rPr>
      </w:pPr>
      <w:r>
        <w:rPr>
          <w:rFonts w:hint="eastAsia" w:ascii="楷体_GB2312" w:hAnsi="宋体" w:eastAsia="楷体_GB2312" w:cs="楷体_GB2312"/>
          <w:b/>
          <w:bCs/>
          <w:color w:val="000000"/>
          <w:kern w:val="0"/>
          <w:sz w:val="32"/>
          <w:szCs w:val="32"/>
          <w:lang w:val="en-US" w:eastAsia="zh-CN" w:bidi="ar"/>
        </w:rPr>
        <w:t>（二）能繁母猪保有量调控要求</w:t>
      </w:r>
    </w:p>
    <w:p w14:paraId="1D089DB4">
      <w:pPr>
        <w:keepNext w:val="0"/>
        <w:keepLines w:val="0"/>
        <w:pageBreakBefore w:val="0"/>
        <w:kinsoku/>
        <w:wordWrap/>
        <w:overflowPunct/>
        <w:topLinePunct w:val="0"/>
        <w:autoSpaceDE/>
        <w:autoSpaceDN/>
        <w:bidi w:val="0"/>
        <w:adjustRightInd/>
        <w:snapToGrid/>
        <w:spacing w:line="240" w:lineRule="auto"/>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季度末能繁母猪存栏量以国家统计局福建调查总队发布数据为准；非季度末月份，以国家统计局福建调查总队季度末数据为基数，结合省农业农村厅监测的能繁母猪存栏月度环比变化率测算。按照生猪产能调控要求，以能繁母猪月度存栏量占正常保有量的比例为依据，划分为绿色、黄色、红色三个区间（详见下表），采取差异化调控措施，推动产能平稳回归合理区间。</w:t>
      </w:r>
    </w:p>
    <w:tbl>
      <w:tblPr>
        <w:tblStyle w:val="8"/>
        <w:tblpPr w:leftFromText="180" w:rightFromText="180" w:vertAnchor="text" w:horzAnchor="page" w:tblpX="1912" w:tblpY="453"/>
        <w:tblOverlap w:val="never"/>
        <w:tblW w:w="88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00"/>
        <w:gridCol w:w="1417"/>
        <w:gridCol w:w="1567"/>
        <w:gridCol w:w="2169"/>
        <w:gridCol w:w="2311"/>
      </w:tblGrid>
      <w:tr w14:paraId="32D42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7" w:hRule="atLeast"/>
        </w:trPr>
        <w:tc>
          <w:tcPr>
            <w:tcW w:w="8864" w:type="dxa"/>
            <w:gridSpan w:val="5"/>
            <w:tcBorders>
              <w:top w:val="nil"/>
              <w:left w:val="nil"/>
              <w:bottom w:val="nil"/>
              <w:right w:val="nil"/>
            </w:tcBorders>
            <w:shd w:val="clear" w:color="auto" w:fill="auto"/>
            <w:noWrap/>
            <w:vAlign w:val="center"/>
          </w:tcPr>
          <w:p w14:paraId="59AFB8F0">
            <w:pPr>
              <w:keepNext w:val="0"/>
              <w:keepLines w:val="0"/>
              <w:pageBreakBefore w:val="0"/>
              <w:kinsoku/>
              <w:wordWrap/>
              <w:overflowPunct/>
              <w:topLinePunct w:val="0"/>
              <w:autoSpaceDE/>
              <w:autoSpaceDN/>
              <w:bidi w:val="0"/>
              <w:adjustRightInd/>
              <w:snapToGrid/>
              <w:spacing w:line="240" w:lineRule="auto"/>
              <w:ind w:firstLine="640" w:firstLineChars="200"/>
              <w:jc w:val="center"/>
              <w:rPr>
                <w:rFonts w:hint="eastAsia" w:ascii="仿宋_GB2312" w:hAnsi="Calibri" w:eastAsia="仿宋_GB2312" w:cs="仿宋_GB2312"/>
                <w:b w:val="0"/>
                <w:bCs w:val="0"/>
                <w:color w:val="auto"/>
                <w:sz w:val="32"/>
                <w:szCs w:val="32"/>
                <w:lang w:val="en-US" w:eastAsia="zh-CN"/>
              </w:rPr>
            </w:pPr>
            <w:r>
              <w:rPr>
                <w:rFonts w:hint="eastAsia" w:ascii="仿宋_GB2312" w:hAnsi="Calibri" w:eastAsia="仿宋_GB2312" w:cs="仿宋_GB2312"/>
                <w:b w:val="0"/>
                <w:bCs w:val="0"/>
                <w:color w:val="auto"/>
                <w:sz w:val="32"/>
                <w:szCs w:val="32"/>
                <w:lang w:val="en-US" w:eastAsia="zh-CN"/>
              </w:rPr>
              <w:t>能繁母猪存栏量调控区域划分表</w:t>
            </w:r>
          </w:p>
        </w:tc>
      </w:tr>
      <w:tr w14:paraId="588764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34C0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b/>
                <w:bCs/>
                <w:i w:val="0"/>
                <w:iCs w:val="0"/>
                <w:color w:val="auto"/>
                <w:kern w:val="0"/>
                <w:sz w:val="28"/>
                <w:szCs w:val="28"/>
                <w:u w:val="none"/>
                <w:lang w:val="en-US" w:eastAsia="zh-CN" w:bidi="ar"/>
              </w:rPr>
            </w:pPr>
            <w:r>
              <w:rPr>
                <w:rFonts w:hint="eastAsia" w:ascii="仿宋" w:hAnsi="仿宋" w:eastAsia="仿宋" w:cs="仿宋"/>
                <w:b/>
                <w:bCs/>
                <w:i w:val="0"/>
                <w:iCs w:val="0"/>
                <w:color w:val="auto"/>
                <w:kern w:val="0"/>
                <w:sz w:val="28"/>
                <w:szCs w:val="28"/>
                <w:u w:val="none"/>
                <w:lang w:val="en-US" w:eastAsia="zh-CN" w:bidi="ar"/>
              </w:rPr>
              <w:t>县别</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7351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b/>
                <w:bCs/>
                <w:i w:val="0"/>
                <w:iCs w:val="0"/>
                <w:color w:val="auto"/>
                <w:kern w:val="0"/>
                <w:sz w:val="28"/>
                <w:szCs w:val="28"/>
                <w:u w:val="none"/>
                <w:lang w:val="en-US" w:eastAsia="zh-CN" w:bidi="ar"/>
              </w:rPr>
            </w:pPr>
            <w:r>
              <w:rPr>
                <w:rFonts w:hint="eastAsia" w:ascii="仿宋" w:hAnsi="仿宋" w:eastAsia="仿宋" w:cs="仿宋"/>
                <w:b/>
                <w:bCs/>
                <w:i w:val="0"/>
                <w:iCs w:val="0"/>
                <w:color w:val="auto"/>
                <w:kern w:val="0"/>
                <w:sz w:val="28"/>
                <w:szCs w:val="28"/>
                <w:u w:val="none"/>
                <w:lang w:val="en-US" w:eastAsia="zh-CN" w:bidi="ar"/>
              </w:rPr>
              <w:t>目标存栏量（头）</w:t>
            </w:r>
          </w:p>
        </w:tc>
        <w:tc>
          <w:tcPr>
            <w:tcW w:w="1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C9D3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b/>
                <w:bCs/>
                <w:i w:val="0"/>
                <w:iCs w:val="0"/>
                <w:color w:val="auto"/>
                <w:kern w:val="0"/>
                <w:sz w:val="28"/>
                <w:szCs w:val="28"/>
                <w:u w:val="none"/>
                <w:lang w:val="en-US" w:eastAsia="zh-CN" w:bidi="ar"/>
              </w:rPr>
            </w:pPr>
            <w:r>
              <w:rPr>
                <w:rFonts w:hint="eastAsia" w:ascii="仿宋" w:hAnsi="仿宋" w:eastAsia="仿宋" w:cs="仿宋"/>
                <w:b/>
                <w:bCs/>
                <w:i w:val="0"/>
                <w:iCs w:val="0"/>
                <w:color w:val="auto"/>
                <w:kern w:val="0"/>
                <w:sz w:val="28"/>
                <w:szCs w:val="28"/>
                <w:u w:val="none"/>
                <w:lang w:val="en-US" w:eastAsia="zh-CN" w:bidi="ar"/>
              </w:rPr>
              <w:t>绿色区域92%—103%</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6EDF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b/>
                <w:bCs/>
                <w:i w:val="0"/>
                <w:iCs w:val="0"/>
                <w:color w:val="auto"/>
                <w:kern w:val="0"/>
                <w:sz w:val="28"/>
                <w:szCs w:val="28"/>
                <w:u w:val="none"/>
                <w:lang w:val="en-US" w:eastAsia="zh-CN" w:bidi="ar"/>
              </w:rPr>
            </w:pPr>
            <w:r>
              <w:rPr>
                <w:rFonts w:hint="eastAsia" w:ascii="仿宋" w:hAnsi="仿宋" w:eastAsia="仿宋" w:cs="仿宋"/>
                <w:b/>
                <w:bCs/>
                <w:i w:val="0"/>
                <w:iCs w:val="0"/>
                <w:color w:val="auto"/>
                <w:kern w:val="0"/>
                <w:sz w:val="28"/>
                <w:szCs w:val="28"/>
                <w:u w:val="none"/>
                <w:lang w:val="en-US" w:eastAsia="zh-CN" w:bidi="ar"/>
              </w:rPr>
              <w:t>黄色区域</w:t>
            </w:r>
            <w:r>
              <w:rPr>
                <w:rFonts w:hint="eastAsia" w:ascii="仿宋" w:hAnsi="仿宋" w:eastAsia="仿宋" w:cs="仿宋"/>
                <w:b/>
                <w:bCs/>
                <w:i w:val="0"/>
                <w:iCs w:val="0"/>
                <w:color w:val="auto"/>
                <w:kern w:val="0"/>
                <w:sz w:val="28"/>
                <w:szCs w:val="28"/>
                <w:u w:val="none"/>
                <w:lang w:val="en-US" w:eastAsia="zh-CN" w:bidi="ar"/>
              </w:rPr>
              <w:br w:type="textWrapping"/>
            </w:r>
            <w:r>
              <w:rPr>
                <w:rFonts w:hint="eastAsia" w:ascii="仿宋" w:hAnsi="仿宋" w:eastAsia="仿宋" w:cs="仿宋"/>
                <w:b/>
                <w:bCs/>
                <w:i w:val="0"/>
                <w:iCs w:val="0"/>
                <w:color w:val="auto"/>
                <w:kern w:val="0"/>
                <w:sz w:val="28"/>
                <w:szCs w:val="28"/>
                <w:u w:val="none"/>
                <w:lang w:val="en-US" w:eastAsia="zh-CN" w:bidi="ar"/>
              </w:rPr>
              <w:t>88%—92%或103%—106%</w:t>
            </w:r>
          </w:p>
        </w:tc>
        <w:tc>
          <w:tcPr>
            <w:tcW w:w="23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D177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b/>
                <w:bCs/>
                <w:i w:val="0"/>
                <w:iCs w:val="0"/>
                <w:color w:val="auto"/>
                <w:kern w:val="0"/>
                <w:sz w:val="28"/>
                <w:szCs w:val="28"/>
                <w:u w:val="none"/>
                <w:lang w:val="en-US" w:eastAsia="zh-CN" w:bidi="ar"/>
              </w:rPr>
            </w:pPr>
            <w:r>
              <w:rPr>
                <w:rFonts w:hint="eastAsia" w:ascii="仿宋" w:hAnsi="仿宋" w:eastAsia="仿宋" w:cs="仿宋"/>
                <w:b/>
                <w:bCs/>
                <w:i w:val="0"/>
                <w:iCs w:val="0"/>
                <w:color w:val="auto"/>
                <w:kern w:val="0"/>
                <w:sz w:val="28"/>
                <w:szCs w:val="28"/>
                <w:u w:val="none"/>
                <w:lang w:val="en-US" w:eastAsia="zh-CN" w:bidi="ar"/>
              </w:rPr>
              <w:t>红色区域</w:t>
            </w:r>
            <w:r>
              <w:rPr>
                <w:rFonts w:hint="eastAsia" w:ascii="仿宋" w:hAnsi="仿宋" w:eastAsia="仿宋" w:cs="仿宋"/>
                <w:b/>
                <w:bCs/>
                <w:i w:val="0"/>
                <w:iCs w:val="0"/>
                <w:color w:val="auto"/>
                <w:kern w:val="0"/>
                <w:sz w:val="28"/>
                <w:szCs w:val="28"/>
                <w:u w:val="none"/>
                <w:lang w:val="en-US" w:eastAsia="zh-CN" w:bidi="ar"/>
              </w:rPr>
              <w:br w:type="textWrapping"/>
            </w:r>
            <w:r>
              <w:rPr>
                <w:rFonts w:hint="eastAsia" w:ascii="仿宋" w:hAnsi="仿宋" w:eastAsia="仿宋" w:cs="仿宋"/>
                <w:b/>
                <w:bCs/>
                <w:i w:val="0"/>
                <w:iCs w:val="0"/>
                <w:color w:val="auto"/>
                <w:kern w:val="0"/>
                <w:sz w:val="28"/>
                <w:szCs w:val="28"/>
                <w:u w:val="none"/>
                <w:lang w:val="en-US" w:eastAsia="zh-CN" w:bidi="ar"/>
              </w:rPr>
              <w:t>&lt;88%或&gt;106%</w:t>
            </w:r>
          </w:p>
        </w:tc>
      </w:tr>
      <w:tr w14:paraId="51821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2" w:hRule="atLeast"/>
        </w:trPr>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F8D4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三元区</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5DC5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16360</w:t>
            </w:r>
          </w:p>
        </w:tc>
        <w:tc>
          <w:tcPr>
            <w:tcW w:w="1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15EB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15051-16851</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61EE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14397-15051或16851-17342</w:t>
            </w:r>
          </w:p>
        </w:tc>
        <w:tc>
          <w:tcPr>
            <w:tcW w:w="23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D650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&lt;14397或&gt;17342</w:t>
            </w:r>
          </w:p>
        </w:tc>
      </w:tr>
      <w:tr w14:paraId="580A09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7" w:hRule="atLeast"/>
        </w:trPr>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7062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明溪县</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C9BE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4958</w:t>
            </w:r>
          </w:p>
        </w:tc>
        <w:tc>
          <w:tcPr>
            <w:tcW w:w="1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FDB0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4561-5107</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BF95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4363-4561或5107-5255</w:t>
            </w:r>
          </w:p>
        </w:tc>
        <w:tc>
          <w:tcPr>
            <w:tcW w:w="23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2D35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&lt;4363或&gt;5255</w:t>
            </w:r>
          </w:p>
        </w:tc>
      </w:tr>
      <w:tr w14:paraId="77E0E1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7" w:hRule="atLeast"/>
        </w:trPr>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DF66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宁化县</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82CD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9420</w:t>
            </w:r>
          </w:p>
        </w:tc>
        <w:tc>
          <w:tcPr>
            <w:tcW w:w="1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B008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8667-9703</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A696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8290-8667或9703-9985</w:t>
            </w:r>
          </w:p>
        </w:tc>
        <w:tc>
          <w:tcPr>
            <w:tcW w:w="23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63F7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&lt;8290或&gt;9985</w:t>
            </w:r>
          </w:p>
        </w:tc>
      </w:tr>
      <w:tr w14:paraId="48C11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7" w:hRule="atLeast"/>
        </w:trPr>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26F5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清流县</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B059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7932</w:t>
            </w:r>
          </w:p>
        </w:tc>
        <w:tc>
          <w:tcPr>
            <w:tcW w:w="1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0E71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7298-8170</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953B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6980-7298或8170-8408</w:t>
            </w:r>
          </w:p>
        </w:tc>
        <w:tc>
          <w:tcPr>
            <w:tcW w:w="23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1FC6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&lt;6980或&gt;8408</w:t>
            </w:r>
          </w:p>
        </w:tc>
      </w:tr>
      <w:tr w14:paraId="3BEA2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7" w:hRule="atLeast"/>
        </w:trPr>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7902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永安县</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6D7D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11898</w:t>
            </w:r>
          </w:p>
        </w:tc>
        <w:tc>
          <w:tcPr>
            <w:tcW w:w="1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3F20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10946-12255</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C92D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10470-10946或12255-12612</w:t>
            </w:r>
          </w:p>
        </w:tc>
        <w:tc>
          <w:tcPr>
            <w:tcW w:w="23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1681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&lt;10470或&gt;12612</w:t>
            </w:r>
          </w:p>
        </w:tc>
      </w:tr>
      <w:tr w14:paraId="11FAA4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7" w:hRule="atLeast"/>
        </w:trPr>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A58C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大田县</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2BFC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11898</w:t>
            </w:r>
          </w:p>
        </w:tc>
        <w:tc>
          <w:tcPr>
            <w:tcW w:w="1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EEB4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10946-12255</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B413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10470-10946或12255-12612</w:t>
            </w:r>
          </w:p>
        </w:tc>
        <w:tc>
          <w:tcPr>
            <w:tcW w:w="23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4FE7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&lt;10470或&gt;12612</w:t>
            </w:r>
          </w:p>
        </w:tc>
      </w:tr>
      <w:tr w14:paraId="29977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7" w:hRule="atLeast"/>
        </w:trPr>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7143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尤溪县</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5AE4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19335</w:t>
            </w:r>
          </w:p>
        </w:tc>
        <w:tc>
          <w:tcPr>
            <w:tcW w:w="1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FD52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17788-19915</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9012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17015-17788或19915-20495</w:t>
            </w:r>
          </w:p>
        </w:tc>
        <w:tc>
          <w:tcPr>
            <w:tcW w:w="23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410E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&lt;17015或&gt;20495</w:t>
            </w:r>
          </w:p>
        </w:tc>
      </w:tr>
      <w:tr w14:paraId="5A59E0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7" w:hRule="atLeast"/>
        </w:trPr>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E8DE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沙县区</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5131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17846</w:t>
            </w:r>
          </w:p>
        </w:tc>
        <w:tc>
          <w:tcPr>
            <w:tcW w:w="1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23DE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16418-18381</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AB72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15704-16418或18381-18917</w:t>
            </w:r>
          </w:p>
        </w:tc>
        <w:tc>
          <w:tcPr>
            <w:tcW w:w="23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4CE7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&lt;15704或&gt;18917</w:t>
            </w:r>
          </w:p>
        </w:tc>
      </w:tr>
      <w:tr w14:paraId="0C76C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7" w:hRule="atLeast"/>
        </w:trPr>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E71A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将乐县</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D53B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4958</w:t>
            </w:r>
          </w:p>
        </w:tc>
        <w:tc>
          <w:tcPr>
            <w:tcW w:w="1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3F8F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4561-5107</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9AF4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4363-4561或5107-5255</w:t>
            </w:r>
          </w:p>
        </w:tc>
        <w:tc>
          <w:tcPr>
            <w:tcW w:w="23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BEEB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&lt;4363或&gt;5255</w:t>
            </w:r>
          </w:p>
        </w:tc>
      </w:tr>
      <w:tr w14:paraId="28F147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7" w:hRule="atLeast"/>
        </w:trPr>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69C2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泰宁县</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C48D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5950</w:t>
            </w:r>
          </w:p>
        </w:tc>
        <w:tc>
          <w:tcPr>
            <w:tcW w:w="1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06C6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5474-6128</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F8FF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5236-5474或6128-6307</w:t>
            </w:r>
          </w:p>
        </w:tc>
        <w:tc>
          <w:tcPr>
            <w:tcW w:w="23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0300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&lt;5236或&gt;6307</w:t>
            </w:r>
          </w:p>
        </w:tc>
      </w:tr>
      <w:tr w14:paraId="28A47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6" w:hRule="atLeast"/>
        </w:trPr>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7D1E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建宁县</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59C8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6445</w:t>
            </w:r>
          </w:p>
        </w:tc>
        <w:tc>
          <w:tcPr>
            <w:tcW w:w="1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2194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5930-6638</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164B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5672-5930或6638-6832</w:t>
            </w:r>
          </w:p>
        </w:tc>
        <w:tc>
          <w:tcPr>
            <w:tcW w:w="23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C43A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&lt;5672或&gt;6832</w:t>
            </w:r>
          </w:p>
        </w:tc>
      </w:tr>
    </w:tbl>
    <w:p w14:paraId="1E3A0C21">
      <w:pPr>
        <w:keepNext w:val="0"/>
        <w:keepLines w:val="0"/>
        <w:pageBreakBefore w:val="0"/>
        <w:kinsoku/>
        <w:wordWrap/>
        <w:overflowPunct/>
        <w:topLinePunct w:val="0"/>
        <w:autoSpaceDE/>
        <w:autoSpaceDN/>
        <w:bidi w:val="0"/>
        <w:adjustRightInd/>
        <w:snapToGrid/>
        <w:spacing w:line="240" w:lineRule="auto"/>
        <w:rPr>
          <w:rFonts w:hint="eastAsia" w:ascii="仿宋_GB2312" w:hAnsi="Calibri" w:eastAsia="仿宋_GB2312" w:cs="仿宋_GB2312"/>
          <w:color w:val="auto"/>
          <w:sz w:val="32"/>
          <w:szCs w:val="32"/>
          <w:lang w:val="en-US" w:eastAsia="zh-CN"/>
        </w:rPr>
      </w:pPr>
    </w:p>
    <w:p w14:paraId="122A487E">
      <w:pPr>
        <w:keepNext w:val="0"/>
        <w:keepLines w:val="0"/>
        <w:pageBreakBefore w:val="0"/>
        <w:kinsoku/>
        <w:wordWrap/>
        <w:overflowPunct/>
        <w:topLinePunct w:val="0"/>
        <w:autoSpaceDE/>
        <w:autoSpaceDN/>
        <w:bidi w:val="0"/>
        <w:adjustRightInd/>
        <w:snapToGrid/>
        <w:spacing w:line="240" w:lineRule="auto"/>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能繁母猪月度存栏量处于黄色区间或红色区间时，应启动针对性调控措施，协同市场力量推动产能回归绿色区间：</w:t>
      </w:r>
    </w:p>
    <w:p w14:paraId="3ED86AE9">
      <w:pPr>
        <w:keepNext w:val="0"/>
        <w:keepLines w:val="0"/>
        <w:pageBreakBefore w:val="0"/>
        <w:kinsoku/>
        <w:wordWrap/>
        <w:overflowPunct/>
        <w:topLinePunct w:val="0"/>
        <w:autoSpaceDE/>
        <w:autoSpaceDN/>
        <w:bidi w:val="0"/>
        <w:adjustRightInd/>
        <w:snapToGrid/>
        <w:spacing w:line="240" w:lineRule="auto"/>
        <w:ind w:firstLine="643"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b/>
          <w:bCs/>
          <w:sz w:val="32"/>
          <w:szCs w:val="32"/>
          <w:lang w:val="en-US" w:eastAsia="zh-CN"/>
        </w:rPr>
        <w:t>1.能繁母猪存栏量大幅减少。</w:t>
      </w:r>
      <w:r>
        <w:rPr>
          <w:rFonts w:hint="eastAsia" w:ascii="仿宋_GB2312" w:hAnsi="Calibri" w:eastAsia="仿宋_GB2312" w:cs="仿宋_GB2312"/>
          <w:sz w:val="32"/>
          <w:szCs w:val="32"/>
          <w:lang w:val="en-US" w:eastAsia="zh-CN"/>
        </w:rPr>
        <w:t>能繁母猪月度存栏量处于正常保有量的88%—92%区间。一是加强监测预警。及时发布生产与市场预警信息，稳定行业预期，引导养殖场户减缓能繁母猪淘汰、适度补充后备母猪；二是启动增加产能调节机制。由市农业农村局组织各县（市、区）指导产能调控基地稳定生产，减缓淘汰能繁母猪，增加能繁母猪补栏。</w:t>
      </w:r>
    </w:p>
    <w:p w14:paraId="6E684497">
      <w:pPr>
        <w:keepNext w:val="0"/>
        <w:keepLines w:val="0"/>
        <w:pageBreakBefore w:val="0"/>
        <w:kinsoku/>
        <w:wordWrap/>
        <w:overflowPunct/>
        <w:topLinePunct w:val="0"/>
        <w:autoSpaceDE/>
        <w:autoSpaceDN/>
        <w:bidi w:val="0"/>
        <w:adjustRightInd/>
        <w:snapToGrid/>
        <w:spacing w:line="240" w:lineRule="auto"/>
        <w:ind w:firstLine="643"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b/>
          <w:bCs/>
          <w:sz w:val="32"/>
          <w:szCs w:val="32"/>
          <w:lang w:val="en-US" w:eastAsia="zh-CN"/>
        </w:rPr>
        <w:t>2.</w:t>
      </w:r>
      <w:r>
        <w:rPr>
          <w:rFonts w:hint="default" w:ascii="仿宋_GB2312" w:hAnsi="Calibri" w:eastAsia="仿宋_GB2312" w:cs="仿宋_GB2312"/>
          <w:b/>
          <w:bCs/>
          <w:sz w:val="32"/>
          <w:szCs w:val="32"/>
          <w:lang w:val="en-US" w:eastAsia="zh-CN"/>
        </w:rPr>
        <w:t>能繁母猪存栏量过度减少。</w:t>
      </w:r>
      <w:r>
        <w:rPr>
          <w:rFonts w:hint="default" w:ascii="仿宋_GB2312" w:hAnsi="Calibri" w:eastAsia="仿宋_GB2312" w:cs="仿宋_GB2312"/>
          <w:sz w:val="32"/>
          <w:szCs w:val="32"/>
          <w:lang w:val="en-US" w:eastAsia="zh-CN"/>
        </w:rPr>
        <w:t>能繁母猪月度存栏量低于正常保有量的88%。</w:t>
      </w:r>
      <w:r>
        <w:rPr>
          <w:rFonts w:hint="eastAsia" w:ascii="仿宋_GB2312" w:hAnsi="Calibri" w:eastAsia="仿宋_GB2312" w:cs="仿宋_GB2312"/>
          <w:sz w:val="32"/>
          <w:szCs w:val="32"/>
          <w:lang w:val="en-US" w:eastAsia="zh-CN"/>
        </w:rPr>
        <w:t>市农业农村局对产能下滑严重、调控不力的县（市、区）农业农村部门发预警函，督促属地统筹财政、金融等政策工具，落实补贴、信贷贴息、保险扩面等支持措施，遏制产能下滑势头</w:t>
      </w:r>
      <w:r>
        <w:rPr>
          <w:rFonts w:hint="default" w:ascii="仿宋_GB2312" w:hAnsi="Calibri" w:eastAsia="仿宋_GB2312" w:cs="仿宋_GB2312"/>
          <w:sz w:val="32"/>
          <w:szCs w:val="32"/>
          <w:lang w:val="en-US" w:eastAsia="zh-CN"/>
        </w:rPr>
        <w:t>，尽快恢复能繁母猪存栏量</w:t>
      </w:r>
      <w:r>
        <w:rPr>
          <w:rFonts w:hint="eastAsia" w:ascii="仿宋_GB2312" w:hAnsi="Calibri" w:eastAsia="仿宋_GB2312" w:cs="仿宋_GB2312"/>
          <w:sz w:val="32"/>
          <w:szCs w:val="32"/>
          <w:lang w:val="en-US" w:eastAsia="zh-CN"/>
        </w:rPr>
        <w:t>。</w:t>
      </w:r>
    </w:p>
    <w:p w14:paraId="086D9A50">
      <w:pPr>
        <w:keepNext w:val="0"/>
        <w:keepLines w:val="0"/>
        <w:pageBreakBefore w:val="0"/>
        <w:kinsoku/>
        <w:wordWrap/>
        <w:overflowPunct/>
        <w:topLinePunct w:val="0"/>
        <w:autoSpaceDE/>
        <w:autoSpaceDN/>
        <w:bidi w:val="0"/>
        <w:adjustRightInd/>
        <w:snapToGrid/>
        <w:spacing w:line="240" w:lineRule="auto"/>
        <w:ind w:firstLine="643" w:firstLineChars="200"/>
        <w:rPr>
          <w:rFonts w:hint="default" w:ascii="仿宋_GB2312" w:hAnsi="Calibri" w:eastAsia="仿宋_GB2312" w:cs="仿宋_GB2312"/>
          <w:sz w:val="32"/>
          <w:szCs w:val="32"/>
          <w:lang w:val="en-US" w:eastAsia="zh-CN"/>
        </w:rPr>
      </w:pPr>
      <w:r>
        <w:rPr>
          <w:rFonts w:hint="eastAsia" w:ascii="仿宋_GB2312" w:hAnsi="Calibri" w:eastAsia="仿宋_GB2312" w:cs="仿宋_GB2312"/>
          <w:b/>
          <w:bCs/>
          <w:sz w:val="32"/>
          <w:szCs w:val="32"/>
          <w:lang w:val="en-US" w:eastAsia="zh-CN"/>
        </w:rPr>
        <w:t>3.能繁母猪存栏量大幅增加。</w:t>
      </w:r>
      <w:r>
        <w:rPr>
          <w:rFonts w:hint="eastAsia" w:ascii="仿宋_GB2312" w:hAnsi="Calibri" w:eastAsia="仿宋_GB2312" w:cs="仿宋_GB2312"/>
          <w:sz w:val="32"/>
          <w:szCs w:val="32"/>
          <w:lang w:val="en-US" w:eastAsia="zh-CN"/>
        </w:rPr>
        <w:t>能繁母猪月度存栏量处</w:t>
      </w:r>
      <w:r>
        <w:rPr>
          <w:rFonts w:hint="default" w:ascii="仿宋_GB2312" w:hAnsi="Calibri" w:eastAsia="仿宋_GB2312" w:cs="仿宋_GB2312"/>
          <w:sz w:val="32"/>
          <w:szCs w:val="32"/>
          <w:lang w:val="en-US" w:eastAsia="zh-CN"/>
        </w:rPr>
        <w:t>于正常保有量的 103%—106%区间。一是加强监测预警</w:t>
      </w:r>
      <w:r>
        <w:rPr>
          <w:rFonts w:hint="eastAsia" w:ascii="仿宋_GB2312" w:hAnsi="Calibri" w:eastAsia="仿宋_GB2312" w:cs="仿宋_GB2312"/>
          <w:sz w:val="32"/>
          <w:szCs w:val="32"/>
          <w:lang w:val="en-US" w:eastAsia="zh-CN"/>
        </w:rPr>
        <w:t>。</w:t>
      </w:r>
      <w:r>
        <w:rPr>
          <w:rFonts w:hint="default" w:ascii="仿宋_GB2312" w:hAnsi="Calibri" w:eastAsia="仿宋_GB2312" w:cs="仿宋_GB2312"/>
          <w:sz w:val="32"/>
          <w:szCs w:val="32"/>
          <w:lang w:val="en-US" w:eastAsia="zh-CN"/>
        </w:rPr>
        <w:t>强化能繁母猪存栏量监测调度，及时发布动态监测信息，</w:t>
      </w:r>
      <w:r>
        <w:rPr>
          <w:rFonts w:hint="eastAsia" w:ascii="仿宋_GB2312" w:hAnsi="Calibri" w:eastAsia="仿宋_GB2312" w:cs="仿宋_GB2312"/>
          <w:sz w:val="32"/>
          <w:szCs w:val="32"/>
          <w:lang w:val="en-US" w:eastAsia="zh-CN"/>
        </w:rPr>
        <w:t>合理</w:t>
      </w:r>
      <w:r>
        <w:rPr>
          <w:rFonts w:hint="default" w:ascii="仿宋_GB2312" w:hAnsi="Calibri" w:eastAsia="仿宋_GB2312" w:cs="仿宋_GB2312"/>
          <w:sz w:val="32"/>
          <w:szCs w:val="32"/>
          <w:lang w:val="en-US" w:eastAsia="zh-CN"/>
        </w:rPr>
        <w:t>引导市场预期，</w:t>
      </w:r>
      <w:r>
        <w:rPr>
          <w:rFonts w:hint="eastAsia" w:ascii="仿宋_GB2312" w:hAnsi="Calibri" w:eastAsia="仿宋_GB2312" w:cs="仿宋_GB2312"/>
          <w:sz w:val="32"/>
          <w:szCs w:val="32"/>
          <w:lang w:val="en-US" w:eastAsia="zh-CN"/>
        </w:rPr>
        <w:t>加快淘汰低产母猪，优化种群结构，减少能繁母猪存栏量</w:t>
      </w:r>
      <w:r>
        <w:rPr>
          <w:rFonts w:hint="default" w:ascii="仿宋_GB2312" w:hAnsi="Calibri" w:eastAsia="仿宋_GB2312" w:cs="仿宋_GB2312"/>
          <w:sz w:val="32"/>
          <w:szCs w:val="32"/>
          <w:lang w:val="en-US" w:eastAsia="zh-CN"/>
        </w:rPr>
        <w:t>。二是启动产能调减机制。</w:t>
      </w:r>
      <w:r>
        <w:rPr>
          <w:rFonts w:hint="eastAsia" w:ascii="仿宋_GB2312" w:hAnsi="Calibri" w:eastAsia="仿宋_GB2312" w:cs="仿宋_GB2312"/>
          <w:sz w:val="32"/>
          <w:szCs w:val="32"/>
          <w:lang w:val="en-US" w:eastAsia="zh-CN"/>
        </w:rPr>
        <w:t>结合全市</w:t>
      </w:r>
      <w:r>
        <w:rPr>
          <w:rFonts w:hint="default" w:ascii="仿宋_GB2312" w:hAnsi="Calibri" w:eastAsia="仿宋_GB2312" w:cs="仿宋_GB2312"/>
          <w:sz w:val="32"/>
          <w:szCs w:val="32"/>
          <w:lang w:val="en-US" w:eastAsia="zh-CN"/>
        </w:rPr>
        <w:t>繁母猪存栏</w:t>
      </w:r>
      <w:r>
        <w:rPr>
          <w:rFonts w:hint="eastAsia" w:ascii="仿宋_GB2312" w:hAnsi="Calibri" w:eastAsia="仿宋_GB2312" w:cs="仿宋_GB2312"/>
          <w:sz w:val="32"/>
          <w:szCs w:val="32"/>
          <w:lang w:val="en-US" w:eastAsia="zh-CN"/>
        </w:rPr>
        <w:t>情况，由县（市、区）</w:t>
      </w:r>
      <w:r>
        <w:rPr>
          <w:rFonts w:hint="default" w:ascii="仿宋_GB2312" w:hAnsi="Calibri" w:eastAsia="仿宋_GB2312" w:cs="仿宋_GB2312"/>
          <w:sz w:val="32"/>
          <w:szCs w:val="32"/>
          <w:lang w:val="en-US" w:eastAsia="zh-CN"/>
        </w:rPr>
        <w:t>农业农村部门引导和督促</w:t>
      </w:r>
      <w:r>
        <w:rPr>
          <w:rFonts w:hint="eastAsia" w:ascii="仿宋_GB2312" w:hAnsi="Calibri" w:eastAsia="仿宋_GB2312" w:cs="仿宋_GB2312"/>
          <w:sz w:val="32"/>
          <w:szCs w:val="32"/>
          <w:lang w:val="en-US" w:eastAsia="zh-CN"/>
        </w:rPr>
        <w:t>生猪产能调控基地延迟能繁母猪补栏、加快淘汰低产母猪等措施，主动压减过剩产能</w:t>
      </w:r>
      <w:r>
        <w:rPr>
          <w:rFonts w:hint="default" w:ascii="仿宋_GB2312" w:hAnsi="Calibri" w:eastAsia="仿宋_GB2312" w:cs="仿宋_GB2312"/>
          <w:sz w:val="32"/>
          <w:szCs w:val="32"/>
          <w:lang w:val="en-US" w:eastAsia="zh-CN"/>
        </w:rPr>
        <w:t>。</w:t>
      </w:r>
    </w:p>
    <w:p w14:paraId="00A83FBC">
      <w:pPr>
        <w:keepNext w:val="0"/>
        <w:keepLines w:val="0"/>
        <w:pageBreakBefore w:val="0"/>
        <w:kinsoku/>
        <w:wordWrap/>
        <w:overflowPunct/>
        <w:topLinePunct w:val="0"/>
        <w:autoSpaceDE/>
        <w:autoSpaceDN/>
        <w:bidi w:val="0"/>
        <w:adjustRightInd/>
        <w:snapToGrid/>
        <w:spacing w:line="240" w:lineRule="auto"/>
        <w:ind w:firstLine="643"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b/>
          <w:bCs/>
          <w:sz w:val="32"/>
          <w:szCs w:val="32"/>
          <w:lang w:val="en-US" w:eastAsia="zh-CN"/>
        </w:rPr>
        <w:t>4.</w:t>
      </w:r>
      <w:r>
        <w:rPr>
          <w:rFonts w:hint="default" w:ascii="仿宋_GB2312" w:hAnsi="Calibri" w:eastAsia="仿宋_GB2312" w:cs="仿宋_GB2312"/>
          <w:b/>
          <w:bCs/>
          <w:sz w:val="32"/>
          <w:szCs w:val="32"/>
          <w:lang w:val="en-US" w:eastAsia="zh-CN"/>
        </w:rPr>
        <w:t>能繁母猪存栏量过度增加。</w:t>
      </w:r>
      <w:r>
        <w:rPr>
          <w:rFonts w:hint="default" w:ascii="仿宋_GB2312" w:hAnsi="Calibri" w:eastAsia="仿宋_GB2312" w:cs="仿宋_GB2312"/>
          <w:sz w:val="32"/>
          <w:szCs w:val="32"/>
          <w:lang w:val="en-US" w:eastAsia="zh-CN"/>
        </w:rPr>
        <w:t>能繁母猪月度存栏量高于正常保有量的106%。</w:t>
      </w:r>
      <w:r>
        <w:rPr>
          <w:rFonts w:hint="eastAsia" w:ascii="仿宋_GB2312" w:hAnsi="Calibri" w:eastAsia="仿宋_GB2312" w:cs="仿宋_GB2312"/>
          <w:sz w:val="32"/>
          <w:szCs w:val="32"/>
          <w:lang w:val="en-US" w:eastAsia="zh-CN"/>
        </w:rPr>
        <w:t>市农业农村局对</w:t>
      </w:r>
      <w:r>
        <w:rPr>
          <w:rFonts w:hint="default" w:ascii="仿宋_GB2312" w:hAnsi="Calibri" w:eastAsia="仿宋_GB2312" w:cs="仿宋_GB2312"/>
          <w:sz w:val="32"/>
          <w:szCs w:val="32"/>
          <w:lang w:val="en-US" w:eastAsia="zh-CN"/>
        </w:rPr>
        <w:t>能繁母猪存栏量过度增加</w:t>
      </w:r>
      <w:r>
        <w:rPr>
          <w:rFonts w:hint="eastAsia" w:ascii="仿宋_GB2312" w:hAnsi="Calibri" w:eastAsia="仿宋_GB2312" w:cs="仿宋_GB2312"/>
          <w:sz w:val="32"/>
          <w:szCs w:val="32"/>
          <w:lang w:val="en-US" w:eastAsia="zh-CN"/>
        </w:rPr>
        <w:t>、调控不力的县（市、区）农业农村部门发预警函，全面强化产能压减措施，加大低产母猪淘汰力度，</w:t>
      </w:r>
      <w:r>
        <w:rPr>
          <w:rFonts w:hint="default" w:ascii="仿宋_GB2312" w:hAnsi="Calibri" w:eastAsia="仿宋_GB2312" w:cs="仿宋_GB2312"/>
          <w:sz w:val="32"/>
          <w:szCs w:val="32"/>
          <w:lang w:val="en-US" w:eastAsia="zh-CN"/>
        </w:rPr>
        <w:t>暂缓补栏能繁母猪和新建扩建猪场</w:t>
      </w:r>
      <w:r>
        <w:rPr>
          <w:rFonts w:hint="eastAsia" w:ascii="仿宋_GB2312" w:hAnsi="Calibri" w:eastAsia="仿宋_GB2312" w:cs="仿宋_GB2312"/>
          <w:sz w:val="32"/>
          <w:szCs w:val="32"/>
          <w:lang w:val="en-US" w:eastAsia="zh-CN"/>
        </w:rPr>
        <w:t>。</w:t>
      </w:r>
    </w:p>
    <w:p w14:paraId="17C12423">
      <w:pPr>
        <w:keepNext w:val="0"/>
        <w:keepLines w:val="0"/>
        <w:pageBreakBefore w:val="0"/>
        <w:kinsoku/>
        <w:wordWrap/>
        <w:overflowPunct/>
        <w:topLinePunct w:val="0"/>
        <w:autoSpaceDE/>
        <w:autoSpaceDN/>
        <w:bidi w:val="0"/>
        <w:adjustRightInd/>
        <w:snapToGrid/>
        <w:spacing w:line="240" w:lineRule="auto"/>
        <w:ind w:firstLine="643"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b/>
          <w:bCs/>
          <w:sz w:val="32"/>
          <w:szCs w:val="32"/>
          <w:lang w:val="en-US" w:eastAsia="zh-CN"/>
        </w:rPr>
        <w:t>5.异常情形应急调控。</w:t>
      </w:r>
      <w:r>
        <w:rPr>
          <w:rFonts w:hint="eastAsia" w:ascii="仿宋_GB2312" w:hAnsi="Calibri" w:eastAsia="仿宋_GB2312" w:cs="仿宋_GB2312"/>
          <w:sz w:val="32"/>
          <w:szCs w:val="32"/>
          <w:lang w:val="en-US" w:eastAsia="zh-CN"/>
        </w:rPr>
        <w:t>种猪供应紧张、新生仔猪数量异常下降、生猪存栏大幅波动等特殊情况时，县（市、区）农业农村部门要会同相关部门及时研判原因、制定应对措施，必要时报本级人民政府批准后实施临时调控政策。</w:t>
      </w:r>
    </w:p>
    <w:p w14:paraId="3322336B">
      <w:pPr>
        <w:keepNext w:val="0"/>
        <w:keepLines w:val="0"/>
        <w:pageBreakBefore w:val="0"/>
        <w:kinsoku/>
        <w:wordWrap/>
        <w:overflowPunct/>
        <w:topLinePunct w:val="0"/>
        <w:autoSpaceDE/>
        <w:autoSpaceDN/>
        <w:bidi w:val="0"/>
        <w:adjustRightInd/>
        <w:snapToGrid/>
        <w:spacing w:line="240" w:lineRule="auto"/>
        <w:ind w:firstLine="643" w:firstLineChars="200"/>
        <w:rPr>
          <w:rFonts w:hint="default" w:ascii="楷体_GB2312" w:hAnsi="宋体" w:eastAsia="楷体_GB2312" w:cs="楷体_GB2312"/>
          <w:b/>
          <w:bCs/>
          <w:color w:val="000000"/>
          <w:kern w:val="0"/>
          <w:sz w:val="32"/>
          <w:szCs w:val="32"/>
          <w:lang w:val="en-US" w:eastAsia="zh-CN" w:bidi="ar"/>
        </w:rPr>
      </w:pPr>
      <w:r>
        <w:rPr>
          <w:rFonts w:hint="eastAsia" w:ascii="楷体_GB2312" w:hAnsi="宋体" w:eastAsia="楷体_GB2312" w:cs="楷体_GB2312"/>
          <w:b/>
          <w:bCs/>
          <w:color w:val="000000"/>
          <w:kern w:val="0"/>
          <w:sz w:val="32"/>
          <w:szCs w:val="32"/>
          <w:lang w:val="en-US" w:eastAsia="zh-CN" w:bidi="ar"/>
        </w:rPr>
        <w:t>（三）生猪规模养殖保有量调控要求</w:t>
      </w:r>
    </w:p>
    <w:p w14:paraId="6FACDED8">
      <w:pPr>
        <w:pStyle w:val="7"/>
        <w:keepNext w:val="0"/>
        <w:keepLines w:val="0"/>
        <w:widowControl/>
        <w:suppressLineNumbers w:val="0"/>
        <w:ind w:left="0" w:firstLine="640"/>
      </w:pPr>
      <w:r>
        <w:rPr>
          <w:rFonts w:hint="eastAsia" w:ascii="仿宋_GB2312" w:hAnsi="Calibri" w:eastAsia="仿宋_GB2312" w:cs="仿宋_GB2312"/>
          <w:b/>
          <w:bCs/>
          <w:sz w:val="32"/>
          <w:szCs w:val="32"/>
          <w:lang w:val="en-US" w:eastAsia="zh-CN"/>
        </w:rPr>
        <w:t>1.保持规模猪场总量稳定。</w:t>
      </w:r>
      <w:r>
        <w:rPr>
          <w:rFonts w:ascii="仿宋_GB2312" w:eastAsia="仿宋_GB2312" w:cs="仿宋_GB2312"/>
          <w:color w:val="000000"/>
          <w:sz w:val="31"/>
          <w:szCs w:val="31"/>
        </w:rPr>
        <w:t>根据</w:t>
      </w:r>
      <w:r>
        <w:rPr>
          <w:rFonts w:hint="eastAsia" w:ascii="仿宋_GB2312" w:eastAsia="仿宋_GB2312" w:cs="仿宋_GB2312"/>
          <w:color w:val="000000"/>
          <w:sz w:val="31"/>
          <w:szCs w:val="31"/>
          <w:lang w:val="en-US" w:eastAsia="zh-CN"/>
        </w:rPr>
        <w:t>省农业农村厅</w:t>
      </w:r>
      <w:r>
        <w:rPr>
          <w:rFonts w:ascii="仿宋_GB2312" w:eastAsia="仿宋_GB2312" w:cs="仿宋_GB2312"/>
          <w:color w:val="000000"/>
          <w:sz w:val="31"/>
          <w:szCs w:val="31"/>
        </w:rPr>
        <w:t>下达的规模</w:t>
      </w:r>
      <w:r>
        <w:rPr>
          <w:rFonts w:hint="default" w:ascii="仿宋_GB2312" w:eastAsia="仿宋_GB2312" w:cs="仿宋_GB2312"/>
          <w:color w:val="000000"/>
          <w:sz w:val="31"/>
          <w:szCs w:val="31"/>
        </w:rPr>
        <w:t>猪场保有量目标任务，结合生猪规模养殖发展趋势，设定全省规模猪场保有量稳定在</w:t>
      </w:r>
      <w:r>
        <w:rPr>
          <w:rFonts w:hint="eastAsia" w:ascii="仿宋_GB2312" w:eastAsia="仿宋_GB2312" w:cs="仿宋_GB2312"/>
          <w:color w:val="000000"/>
          <w:sz w:val="31"/>
          <w:szCs w:val="31"/>
          <w:lang w:val="en-US" w:eastAsia="zh-CN"/>
        </w:rPr>
        <w:t>400</w:t>
      </w:r>
      <w:r>
        <w:rPr>
          <w:rFonts w:hint="default" w:ascii="仿宋_GB2312" w:eastAsia="仿宋_GB2312" w:cs="仿宋_GB2312"/>
          <w:color w:val="000000"/>
          <w:sz w:val="31"/>
          <w:szCs w:val="31"/>
        </w:rPr>
        <w:t>个以上的目标。各</w:t>
      </w:r>
      <w:r>
        <w:rPr>
          <w:rFonts w:hint="eastAsia" w:ascii="仿宋_GB2312" w:eastAsia="仿宋_GB2312" w:cs="仿宋_GB2312"/>
          <w:color w:val="000000"/>
          <w:sz w:val="31"/>
          <w:szCs w:val="31"/>
          <w:lang w:val="en-US" w:eastAsia="zh-CN"/>
        </w:rPr>
        <w:t>县（市、区）</w:t>
      </w:r>
      <w:r>
        <w:rPr>
          <w:rFonts w:hint="default" w:ascii="仿宋_GB2312" w:eastAsia="仿宋_GB2312" w:cs="仿宋_GB2312"/>
          <w:color w:val="000000"/>
          <w:sz w:val="31"/>
          <w:szCs w:val="31"/>
        </w:rPr>
        <w:t>规模猪场保有量以2025年规模猪场保有量为基础，结合生产发展实际确定，并按照《畜禽养殖场备案管理办法》规定加强养殖场备案管理，保持规模猪场数量总体稳定。</w:t>
      </w:r>
    </w:p>
    <w:p w14:paraId="0C941C42">
      <w:pPr>
        <w:keepNext w:val="0"/>
        <w:keepLines w:val="0"/>
        <w:pageBreakBefore w:val="0"/>
        <w:kinsoku/>
        <w:wordWrap/>
        <w:overflowPunct/>
        <w:topLinePunct w:val="0"/>
        <w:autoSpaceDE/>
        <w:autoSpaceDN/>
        <w:bidi w:val="0"/>
        <w:adjustRightInd/>
        <w:snapToGrid/>
        <w:spacing w:line="240" w:lineRule="auto"/>
        <w:ind w:firstLine="643"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b/>
          <w:bCs/>
          <w:sz w:val="32"/>
          <w:szCs w:val="32"/>
          <w:lang w:val="en-US" w:eastAsia="zh-CN"/>
        </w:rPr>
        <w:t>2.分级建设产能调控基地。</w:t>
      </w:r>
      <w:r>
        <w:rPr>
          <w:rFonts w:hint="default" w:ascii="仿宋_GB2312" w:eastAsia="仿宋_GB2312" w:cs="仿宋_GB2312"/>
          <w:color w:val="000000"/>
          <w:sz w:val="31"/>
          <w:szCs w:val="31"/>
        </w:rPr>
        <w:t>按照猪场自愿加入并配合开展产能调控的原则，</w:t>
      </w:r>
      <w:r>
        <w:rPr>
          <w:rFonts w:hint="eastAsia" w:ascii="仿宋_GB2312" w:eastAsia="仿宋_GB2312" w:cs="仿宋_GB2312"/>
          <w:color w:val="000000"/>
          <w:sz w:val="31"/>
          <w:szCs w:val="31"/>
          <w:lang w:val="en-US" w:eastAsia="zh-CN"/>
        </w:rPr>
        <w:t>设立国家级和省级生猪产能调控基地并授牌</w:t>
      </w:r>
      <w:r>
        <w:rPr>
          <w:rFonts w:hint="eastAsia" w:ascii="仿宋_GB2312" w:hAnsi="Calibri" w:eastAsia="仿宋_GB2312" w:cs="仿宋_GB2312"/>
          <w:sz w:val="32"/>
          <w:szCs w:val="32"/>
          <w:lang w:val="en-US" w:eastAsia="zh-CN"/>
        </w:rPr>
        <w:t>。其中，年设计出栏1万头以上的规模猪场和国家生猪核心育种场，纳入国家级生猪产能调控基地；年设计出栏5000 头至1万头的规模猪场，纳入省级生猪产能调控基地。各县（市、区）要做好宣传动员，引导符合条件的规模猪场参加产能调控基地建设。</w:t>
      </w:r>
      <w:r>
        <w:rPr>
          <w:rFonts w:hint="default" w:ascii="仿宋_GB2312" w:hAnsi="Calibri" w:eastAsia="仿宋_GB2312" w:cs="仿宋_GB2312"/>
          <w:sz w:val="32"/>
          <w:szCs w:val="32"/>
          <w:lang w:val="en-US" w:eastAsia="zh-CN"/>
        </w:rPr>
        <w:t>响应政府产能调控号召的生猪产能调控场可按相关规定享受生猪产业支持政策。</w:t>
      </w:r>
    </w:p>
    <w:p w14:paraId="3D93521B">
      <w:pPr>
        <w:keepNext w:val="0"/>
        <w:keepLines w:val="0"/>
        <w:pageBreakBefore w:val="0"/>
        <w:kinsoku/>
        <w:wordWrap/>
        <w:overflowPunct/>
        <w:topLinePunct w:val="0"/>
        <w:autoSpaceDE/>
        <w:autoSpaceDN/>
        <w:bidi w:val="0"/>
        <w:adjustRightInd/>
        <w:snapToGrid/>
        <w:spacing w:line="240" w:lineRule="auto"/>
        <w:ind w:firstLine="643"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b/>
          <w:bCs/>
          <w:sz w:val="32"/>
          <w:szCs w:val="32"/>
          <w:lang w:val="en-US" w:eastAsia="zh-CN"/>
        </w:rPr>
        <w:t>3.强化规模猪场生产运行监测与分类引导。</w:t>
      </w:r>
      <w:r>
        <w:rPr>
          <w:rFonts w:hint="eastAsia" w:ascii="仿宋_GB2312" w:hAnsi="Calibri" w:eastAsia="仿宋_GB2312" w:cs="仿宋_GB2312"/>
          <w:sz w:val="32"/>
          <w:szCs w:val="32"/>
          <w:lang w:val="en-US" w:eastAsia="zh-CN"/>
        </w:rPr>
        <w:t>各县（市、区）要将能繁母</w:t>
      </w:r>
      <w:r>
        <w:rPr>
          <w:rFonts w:hint="eastAsia" w:ascii="仿宋_GB2312" w:hAnsi="Calibri" w:eastAsia="仿宋_GB2312" w:cs="仿宋_GB2312"/>
          <w:color w:val="auto"/>
          <w:sz w:val="32"/>
          <w:szCs w:val="32"/>
          <w:lang w:val="en-US" w:eastAsia="zh-CN"/>
        </w:rPr>
        <w:t>猪存栏500头</w:t>
      </w:r>
      <w:r>
        <w:rPr>
          <w:rFonts w:hint="eastAsia" w:ascii="仿宋_GB2312" w:hAnsi="Calibri" w:eastAsia="仿宋_GB2312" w:cs="仿宋_GB2312"/>
          <w:sz w:val="32"/>
          <w:szCs w:val="32"/>
          <w:lang w:val="en-US" w:eastAsia="zh-CN"/>
        </w:rPr>
        <w:t>以上的规模场纳入本级重点监测名单，开展常态化跟踪调度，及时掌握核心场种群结构、生产运营动态，落实配套激励约束举措。要紧扣逆周期调节要求，结合生产监测数据与市场价格走势，指导辖区养殖场户优化母猪配种淘汰、仔猪补栏及育肥猪出栏节奏，合理调控生猪上市规模，稳定区域猪价。鼓励支持畜牧行业协会牵头或参与生猪产能调控联盟建设，引导辖区规模猪场有序调节产能，缓解生猪生产周期性波动影响。</w:t>
      </w:r>
    </w:p>
    <w:p w14:paraId="5175508C">
      <w:pPr>
        <w:keepNext w:val="0"/>
        <w:keepLines w:val="0"/>
        <w:pageBreakBefore w:val="0"/>
        <w:kinsoku/>
        <w:wordWrap/>
        <w:overflowPunct/>
        <w:topLinePunct w:val="0"/>
        <w:autoSpaceDE/>
        <w:autoSpaceDN/>
        <w:bidi w:val="0"/>
        <w:adjustRightInd/>
        <w:snapToGrid/>
        <w:spacing w:line="240" w:lineRule="auto"/>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二、工作措施</w:t>
      </w:r>
    </w:p>
    <w:p w14:paraId="08FDE150">
      <w:pPr>
        <w:keepNext w:val="0"/>
        <w:keepLines w:val="0"/>
        <w:pageBreakBefore w:val="0"/>
        <w:kinsoku/>
        <w:wordWrap/>
        <w:overflowPunct/>
        <w:topLinePunct w:val="0"/>
        <w:autoSpaceDE/>
        <w:autoSpaceDN/>
        <w:bidi w:val="0"/>
        <w:adjustRightInd/>
        <w:snapToGrid/>
        <w:spacing w:line="240" w:lineRule="auto"/>
        <w:ind w:firstLine="643" w:firstLineChars="200"/>
        <w:rPr>
          <w:rFonts w:hint="eastAsia" w:ascii="仿宋_GB2312" w:hAnsi="Calibri" w:eastAsia="仿宋_GB2312" w:cs="仿宋_GB2312"/>
          <w:sz w:val="32"/>
          <w:szCs w:val="32"/>
          <w:lang w:val="en-US" w:eastAsia="zh-CN"/>
        </w:rPr>
      </w:pPr>
      <w:r>
        <w:rPr>
          <w:rFonts w:hint="eastAsia" w:ascii="楷体_GB2312" w:hAnsi="宋体" w:eastAsia="楷体_GB2312" w:cs="楷体_GB2312"/>
          <w:b/>
          <w:bCs/>
          <w:color w:val="000000"/>
          <w:kern w:val="0"/>
          <w:sz w:val="32"/>
          <w:szCs w:val="32"/>
          <w:lang w:val="en-US" w:eastAsia="zh-CN" w:bidi="ar"/>
        </w:rPr>
        <w:t>（一）健全监测预警体系。</w:t>
      </w:r>
      <w:r>
        <w:rPr>
          <w:rFonts w:hint="eastAsia" w:ascii="仿宋_GB2312" w:hAnsi="Calibri" w:eastAsia="仿宋_GB2312" w:cs="仿宋_GB2312"/>
          <w:sz w:val="32"/>
          <w:szCs w:val="32"/>
          <w:lang w:val="en-US" w:eastAsia="zh-CN"/>
        </w:rPr>
        <w:t>市农业农村局定期向各县（市、区）反馈能繁母猪存栏、规模猪场保有量等数据变化情况；按季度视情况对产能波动较大的县（市、区）发预警函，并开展专项工作指导。各县（市、区）要配齐配强监测力量，做好</w:t>
      </w:r>
      <w:r>
        <w:rPr>
          <w:rFonts w:hint="default" w:ascii="仿宋_GB2312" w:eastAsia="仿宋_GB2312" w:cs="仿宋_GB2312"/>
          <w:color w:val="000000"/>
          <w:sz w:val="31"/>
          <w:szCs w:val="31"/>
        </w:rPr>
        <w:t>监测数据采集、分析</w:t>
      </w:r>
      <w:r>
        <w:rPr>
          <w:rFonts w:hint="eastAsia" w:ascii="仿宋_GB2312" w:hAnsi="Calibri" w:eastAsia="仿宋_GB2312" w:cs="仿宋_GB2312"/>
          <w:sz w:val="32"/>
          <w:szCs w:val="32"/>
          <w:lang w:val="en-US" w:eastAsia="zh-CN"/>
        </w:rPr>
        <w:t>，强化形势会商与信息发布，及时、准确掌握生产供应动态。持续抓好非洲猪瘟、口蹄疫等重大动物疫病防控，综合研判疫情对产能的影响。遇生猪价格大幅波动、生产形势重大变化等情况，第一时间回应社会关切，合理引导市场预期。</w:t>
      </w:r>
    </w:p>
    <w:p w14:paraId="37433990">
      <w:pPr>
        <w:keepNext w:val="0"/>
        <w:keepLines w:val="0"/>
        <w:pageBreakBefore w:val="0"/>
        <w:kinsoku/>
        <w:wordWrap/>
        <w:overflowPunct/>
        <w:topLinePunct w:val="0"/>
        <w:autoSpaceDE/>
        <w:autoSpaceDN/>
        <w:bidi w:val="0"/>
        <w:adjustRightInd/>
        <w:snapToGrid/>
        <w:spacing w:line="240" w:lineRule="auto"/>
        <w:ind w:firstLine="643" w:firstLineChars="200"/>
        <w:rPr>
          <w:rFonts w:hint="eastAsia" w:ascii="仿宋_GB2312" w:hAnsi="Calibri" w:eastAsia="仿宋_GB2312" w:cs="仿宋_GB2312"/>
          <w:sz w:val="32"/>
          <w:szCs w:val="32"/>
          <w:lang w:val="en-US" w:eastAsia="zh-CN"/>
        </w:rPr>
      </w:pPr>
      <w:r>
        <w:rPr>
          <w:rFonts w:hint="eastAsia" w:ascii="楷体_GB2312" w:hAnsi="宋体" w:eastAsia="楷体_GB2312" w:cs="楷体_GB2312"/>
          <w:b/>
          <w:bCs/>
          <w:color w:val="000000"/>
          <w:kern w:val="0"/>
          <w:sz w:val="32"/>
          <w:szCs w:val="32"/>
          <w:lang w:val="en-US" w:eastAsia="zh-CN" w:bidi="ar"/>
        </w:rPr>
        <w:t>（二）强化政策协同支撑。</w:t>
      </w:r>
      <w:r>
        <w:rPr>
          <w:rFonts w:hint="eastAsia" w:ascii="仿宋_GB2312" w:hAnsi="Calibri" w:eastAsia="仿宋_GB2312" w:cs="仿宋_GB2312"/>
          <w:sz w:val="32"/>
          <w:szCs w:val="32"/>
          <w:lang w:val="en-US" w:eastAsia="zh-CN"/>
        </w:rPr>
        <w:t>各县（市、区）要统筹协调财政、金融、保险、自然资源、生态环境等部门，落实生猪产业长效支持政策。当辖区能繁母猪存栏低于正常保有量 92%，可按规定统筹相关资金给予临时救助补贴。积极协调银行业金融机构扩大合规猪场信贷投放，按规定落实贴息政策；扩大生猪价格保险、养殖保险覆盖面，降低市场与疫病风险。当辖区能繁母猪存栏高于正常保有量103%时，通过相关政策措施，引导养殖场户合理控制生产规模，防止盲目扩张。</w:t>
      </w:r>
    </w:p>
    <w:p w14:paraId="755B290B">
      <w:pPr>
        <w:keepNext w:val="0"/>
        <w:keepLines w:val="0"/>
        <w:pageBreakBefore w:val="0"/>
        <w:kinsoku/>
        <w:wordWrap/>
        <w:overflowPunct/>
        <w:topLinePunct w:val="0"/>
        <w:autoSpaceDE/>
        <w:autoSpaceDN/>
        <w:bidi w:val="0"/>
        <w:adjustRightInd/>
        <w:snapToGrid/>
        <w:spacing w:line="240" w:lineRule="auto"/>
        <w:jc w:val="both"/>
        <w:rPr>
          <w:rFonts w:hint="eastAsia" w:ascii="仿宋_GB2312" w:hAnsi="Calibri" w:eastAsia="仿宋_GB2312" w:cs="仿宋_GB2312"/>
          <w:sz w:val="32"/>
          <w:szCs w:val="32"/>
          <w:lang w:val="en-US" w:eastAsia="zh-CN"/>
        </w:rPr>
      </w:pPr>
    </w:p>
    <w:p w14:paraId="23B5677A">
      <w:pPr>
        <w:keepNext w:val="0"/>
        <w:keepLines w:val="0"/>
        <w:pageBreakBefore w:val="0"/>
        <w:kinsoku/>
        <w:wordWrap/>
        <w:overflowPunct/>
        <w:topLinePunct w:val="0"/>
        <w:autoSpaceDE/>
        <w:autoSpaceDN/>
        <w:bidi w:val="0"/>
        <w:adjustRightInd/>
        <w:snapToGrid/>
        <w:spacing w:line="240" w:lineRule="auto"/>
        <w:ind w:firstLine="640" w:firstLineChars="200"/>
        <w:jc w:val="right"/>
        <w:rPr>
          <w:rFonts w:hint="eastAsia" w:ascii="仿宋_GB2312" w:hAnsi="Calibri" w:eastAsia="仿宋_GB2312" w:cs="仿宋_GB2312"/>
          <w:sz w:val="32"/>
          <w:szCs w:val="32"/>
          <w:lang w:val="en-US" w:eastAsia="zh-CN"/>
        </w:rPr>
      </w:pPr>
    </w:p>
    <w:p w14:paraId="70708F5F">
      <w:pPr>
        <w:keepNext w:val="0"/>
        <w:keepLines w:val="0"/>
        <w:pageBreakBefore w:val="0"/>
        <w:kinsoku/>
        <w:wordWrap/>
        <w:overflowPunct/>
        <w:topLinePunct w:val="0"/>
        <w:autoSpaceDE/>
        <w:autoSpaceDN/>
        <w:bidi w:val="0"/>
        <w:adjustRightInd/>
        <w:snapToGrid/>
        <w:spacing w:line="240" w:lineRule="auto"/>
        <w:ind w:firstLine="640" w:firstLineChars="200"/>
        <w:jc w:val="center"/>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 xml:space="preserve">                三明市农业农村局 </w:t>
      </w:r>
    </w:p>
    <w:p w14:paraId="5346CD93">
      <w:pPr>
        <w:keepNext w:val="0"/>
        <w:keepLines w:val="0"/>
        <w:pageBreakBefore w:val="0"/>
        <w:kinsoku/>
        <w:wordWrap/>
        <w:overflowPunct/>
        <w:topLinePunct w:val="0"/>
        <w:autoSpaceDE/>
        <w:autoSpaceDN/>
        <w:bidi w:val="0"/>
        <w:adjustRightInd/>
        <w:snapToGrid/>
        <w:spacing w:line="240" w:lineRule="auto"/>
        <w:ind w:firstLine="640" w:firstLineChars="200"/>
        <w:jc w:val="center"/>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 xml:space="preserve">               2026 年8月14日</w:t>
      </w:r>
    </w:p>
    <w:p w14:paraId="7ADEB749">
      <w:pPr>
        <w:keepNext w:val="0"/>
        <w:keepLines w:val="0"/>
        <w:pageBreakBefore w:val="0"/>
        <w:kinsoku/>
        <w:wordWrap/>
        <w:overflowPunct/>
        <w:topLinePunct w:val="0"/>
        <w:autoSpaceDE/>
        <w:autoSpaceDN/>
        <w:bidi w:val="0"/>
        <w:adjustRightInd/>
        <w:snapToGrid/>
        <w:spacing w:line="240" w:lineRule="auto"/>
        <w:ind w:firstLine="640" w:firstLineChars="200"/>
        <w:rPr>
          <w:rFonts w:hint="eastAsia" w:ascii="仿宋_GB2312" w:hAnsi="Calibri" w:eastAsia="仿宋_GB2312" w:cs="仿宋_GB2312"/>
          <w:sz w:val="32"/>
          <w:szCs w:val="32"/>
          <w:lang w:val="en-US" w:eastAsia="zh-CN"/>
        </w:rPr>
      </w:pPr>
      <w:bookmarkStart w:id="0" w:name="_GoBack"/>
      <w:bookmarkEnd w:id="0"/>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2414722-B06B-4461-BDC6-3339DC352EC5}"/>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2" w:fontKey="{27181DDA-14AD-45A0-B7C0-613A876E1A27}"/>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embedRegular r:id="rId3" w:fontKey="{78005B05-18A8-4E3E-88DA-CCA159A2141E}"/>
  </w:font>
  <w:font w:name="方正小标宋简体">
    <w:panose1 w:val="02000000000000000000"/>
    <w:charset w:val="86"/>
    <w:family w:val="script"/>
    <w:pitch w:val="default"/>
    <w:sig w:usb0="00000001" w:usb1="08000000" w:usb2="00000000" w:usb3="00000000" w:csb0="00040000" w:csb1="00000000"/>
    <w:embedRegular r:id="rId4" w:fontKey="{E5D3DD43-F26F-4AAF-9F9A-87E62F611470}"/>
  </w:font>
  <w:font w:name="仿宋_GB2312">
    <w:altName w:val="仿宋"/>
    <w:panose1 w:val="02010609030101010101"/>
    <w:charset w:val="86"/>
    <w:family w:val="auto"/>
    <w:pitch w:val="default"/>
    <w:sig w:usb0="00000000" w:usb1="00000000" w:usb2="00000000" w:usb3="00000000" w:csb0="00040000" w:csb1="00000000"/>
    <w:embedRegular r:id="rId5" w:fontKey="{47470EE9-4853-4283-871D-895DB8D86B07}"/>
  </w:font>
  <w:font w:name="楷体_GB2312">
    <w:altName w:val="楷体"/>
    <w:panose1 w:val="00000000000000000000"/>
    <w:charset w:val="00"/>
    <w:family w:val="auto"/>
    <w:pitch w:val="default"/>
    <w:sig w:usb0="00000000" w:usb1="00000000" w:usb2="00000000" w:usb3="00000000" w:csb0="00000000" w:csb1="00000000"/>
    <w:embedRegular r:id="rId6" w:fontKey="{A11FF46A-C6F1-474F-8620-C89914BF7AA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D941BC">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854DE03">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6854DE03">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AD3AF7"/>
    <w:rsid w:val="04114082"/>
    <w:rsid w:val="05746676"/>
    <w:rsid w:val="0B163D2C"/>
    <w:rsid w:val="0DAF2EBF"/>
    <w:rsid w:val="0E213113"/>
    <w:rsid w:val="0E9D6C3E"/>
    <w:rsid w:val="0EBD2E3C"/>
    <w:rsid w:val="10DF31BF"/>
    <w:rsid w:val="12560533"/>
    <w:rsid w:val="130F5C30"/>
    <w:rsid w:val="18A24E51"/>
    <w:rsid w:val="18DC6117"/>
    <w:rsid w:val="1A3725E8"/>
    <w:rsid w:val="295757E3"/>
    <w:rsid w:val="29D16927"/>
    <w:rsid w:val="355436A4"/>
    <w:rsid w:val="35AD3AF7"/>
    <w:rsid w:val="48DA0576"/>
    <w:rsid w:val="4ABE3E05"/>
    <w:rsid w:val="4DCD7C9F"/>
    <w:rsid w:val="57975B83"/>
    <w:rsid w:val="57A6434B"/>
    <w:rsid w:val="581B3CFC"/>
    <w:rsid w:val="5A492DA3"/>
    <w:rsid w:val="60F8107F"/>
    <w:rsid w:val="61665FE8"/>
    <w:rsid w:val="6FA04DBB"/>
    <w:rsid w:val="7E472E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4">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customStyle="1" w:styleId="12">
    <w:name w:val="font41"/>
    <w:basedOn w:val="10"/>
    <w:qFormat/>
    <w:uiPriority w:val="0"/>
    <w:rPr>
      <w:rFonts w:ascii="微软雅黑" w:hAnsi="微软雅黑" w:eastAsia="微软雅黑" w:cs="微软雅黑"/>
      <w:color w:val="000000"/>
      <w:sz w:val="20"/>
      <w:szCs w:val="20"/>
      <w:u w:val="none"/>
    </w:rPr>
  </w:style>
  <w:style w:type="character" w:customStyle="1" w:styleId="13">
    <w:name w:val="font31"/>
    <w:basedOn w:val="10"/>
    <w:qFormat/>
    <w:uiPriority w:val="0"/>
    <w:rPr>
      <w:rFonts w:hint="eastAsia" w:ascii="仿宋" w:hAnsi="仿宋" w:eastAsia="仿宋" w:cs="仿宋"/>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2652</Words>
  <Characters>3230</Characters>
  <Lines>0</Lines>
  <Paragraphs>0</Paragraphs>
  <TotalTime>2</TotalTime>
  <ScaleCrop>false</ScaleCrop>
  <LinksUpToDate>false</LinksUpToDate>
  <CharactersWithSpaces>3241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2026-08-10T02:25:00Z</dcterms:created>
  <dc:creator>biubi</dc:creator>
  <cp:lastModifiedBy>太阳的味道</cp:lastModifiedBy>
  <dcterms:modified xsi:type="dcterms:W3CDTF">2026-08-13T09:31:37Z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84CB541B146A43B496C877C90D1056D2_11</vt:lpwstr>
  </property>
  <property fmtid="{D5CDD505-2E9C-101B-9397-08002B2CF9AE}" pid="4" name="KSOTemplateDocerSaveRecord">
    <vt:lpwstr>eyJoZGlkIjoiNWUzMTQ0ZmRlODI0OGU5MjY5ZjFhYjBlYTk3NTZlYTgiLCJ1c2VySWQiOiIyNzExOTExMTIifQ==</vt:lpwstr>
  </property>
</Properties>
</file>