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关于</w:t>
      </w:r>
      <w:r>
        <w:rPr>
          <w:rFonts w:hint="eastAsia" w:ascii="方正小标宋简体" w:hAnsi="方正小标宋简体" w:eastAsia="方正小标宋简体" w:cs="方正小标宋简体"/>
          <w:color w:val="auto"/>
          <w:sz w:val="44"/>
          <w:szCs w:val="44"/>
        </w:rPr>
        <w:t>进一步</w:t>
      </w:r>
      <w:r>
        <w:rPr>
          <w:rFonts w:hint="eastAsia" w:ascii="方正小标宋简体" w:hAnsi="方正小标宋简体" w:eastAsia="方正小标宋简体" w:cs="方正小标宋简体"/>
          <w:color w:val="auto"/>
          <w:sz w:val="44"/>
          <w:szCs w:val="44"/>
          <w:lang w:val="en-US" w:eastAsia="zh-CN"/>
        </w:rPr>
        <w:t>推动农村集体产权规范</w:t>
      </w: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流转交易工作方案</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为深化农村集体产权制度改革，</w:t>
      </w:r>
      <w:r>
        <w:rPr>
          <w:rFonts w:hint="eastAsia" w:ascii="仿宋_GB2312" w:hAnsi="仿宋_GB2312" w:eastAsia="仿宋_GB2312" w:cs="仿宋_GB2312"/>
          <w:color w:val="auto"/>
          <w:sz w:val="32"/>
          <w:szCs w:val="32"/>
          <w:lang w:val="en-US" w:eastAsia="zh-CN"/>
        </w:rPr>
        <w:t>进一步</w:t>
      </w:r>
      <w:r>
        <w:rPr>
          <w:rFonts w:hint="eastAsia" w:ascii="仿宋_GB2312" w:hAnsi="仿宋_GB2312" w:eastAsia="仿宋_GB2312" w:cs="仿宋_GB2312"/>
          <w:color w:val="auto"/>
          <w:sz w:val="32"/>
          <w:szCs w:val="32"/>
        </w:rPr>
        <w:t>规范</w:t>
      </w:r>
      <w:r>
        <w:rPr>
          <w:rFonts w:hint="eastAsia" w:ascii="仿宋_GB2312" w:hAnsi="仿宋_GB2312" w:eastAsia="仿宋_GB2312" w:cs="仿宋_GB2312"/>
          <w:color w:val="auto"/>
          <w:sz w:val="32"/>
          <w:szCs w:val="32"/>
          <w:lang w:val="en-US" w:eastAsia="zh-CN"/>
        </w:rPr>
        <w:t>我市</w:t>
      </w:r>
      <w:r>
        <w:rPr>
          <w:rFonts w:hint="eastAsia" w:ascii="仿宋_GB2312" w:hAnsi="仿宋_GB2312" w:eastAsia="仿宋_GB2312" w:cs="仿宋_GB2312"/>
          <w:color w:val="auto"/>
          <w:sz w:val="32"/>
          <w:szCs w:val="32"/>
        </w:rPr>
        <w:t>农村集体</w:t>
      </w:r>
      <w:r>
        <w:rPr>
          <w:rFonts w:hint="eastAsia" w:ascii="仿宋_GB2312" w:hAnsi="仿宋_GB2312" w:eastAsia="仿宋_GB2312" w:cs="仿宋_GB2312"/>
          <w:color w:val="auto"/>
          <w:sz w:val="32"/>
          <w:szCs w:val="32"/>
          <w:lang w:val="en-US" w:eastAsia="zh-CN"/>
        </w:rPr>
        <w:t>产权</w:t>
      </w:r>
      <w:r>
        <w:rPr>
          <w:rFonts w:hint="eastAsia" w:ascii="仿宋_GB2312" w:hAnsi="仿宋_GB2312" w:eastAsia="仿宋_GB2312" w:cs="仿宋_GB2312"/>
          <w:color w:val="auto"/>
          <w:sz w:val="32"/>
          <w:szCs w:val="32"/>
        </w:rPr>
        <w:t>流转交易行为，引导村集体</w:t>
      </w:r>
      <w:r>
        <w:rPr>
          <w:rFonts w:hint="eastAsia" w:ascii="仿宋_GB2312" w:hAnsi="仿宋_GB2312" w:eastAsia="仿宋_GB2312" w:cs="仿宋_GB2312"/>
          <w:color w:val="auto"/>
          <w:sz w:val="32"/>
          <w:szCs w:val="32"/>
          <w:lang w:val="en-US" w:eastAsia="zh-CN"/>
        </w:rPr>
        <w:t>产权</w:t>
      </w:r>
      <w:r>
        <w:rPr>
          <w:rFonts w:hint="eastAsia" w:ascii="仿宋_GB2312" w:hAnsi="仿宋_GB2312" w:eastAsia="仿宋_GB2312" w:cs="仿宋_GB2312"/>
          <w:color w:val="auto"/>
          <w:sz w:val="32"/>
          <w:szCs w:val="32"/>
        </w:rPr>
        <w:t>进入农村产权交易市场公开交易，筑牢农村集体“三资”</w:t>
      </w:r>
      <w:r>
        <w:rPr>
          <w:rFonts w:hint="eastAsia" w:ascii="仿宋_GB2312" w:hAnsi="仿宋_GB2312" w:eastAsia="仿宋_GB2312" w:cs="仿宋_GB2312"/>
          <w:color w:val="auto"/>
          <w:sz w:val="32"/>
          <w:szCs w:val="32"/>
          <w:lang w:val="en-US" w:eastAsia="zh-CN"/>
        </w:rPr>
        <w:t>管理</w:t>
      </w:r>
      <w:r>
        <w:rPr>
          <w:rFonts w:hint="eastAsia" w:ascii="仿宋_GB2312" w:hAnsi="仿宋_GB2312" w:eastAsia="仿宋_GB2312" w:cs="仿宋_GB2312"/>
          <w:color w:val="auto"/>
          <w:sz w:val="32"/>
          <w:szCs w:val="32"/>
        </w:rPr>
        <w:t>防线，实现应进必进、阳光交易、保值增值，</w:t>
      </w:r>
      <w:r>
        <w:rPr>
          <w:rFonts w:hint="eastAsia" w:ascii="仿宋_GB2312" w:hAnsi="仿宋_GB2312" w:eastAsia="仿宋_GB2312" w:cs="仿宋_GB2312"/>
          <w:color w:val="auto"/>
          <w:sz w:val="32"/>
          <w:szCs w:val="32"/>
          <w:lang w:val="en-US" w:eastAsia="zh-CN"/>
        </w:rPr>
        <w:t>切实</w:t>
      </w:r>
      <w:r>
        <w:rPr>
          <w:rFonts w:hint="eastAsia" w:ascii="仿宋_GB2312" w:hAnsi="仿宋_GB2312" w:eastAsia="仿宋_GB2312" w:cs="仿宋_GB2312"/>
          <w:color w:val="auto"/>
          <w:sz w:val="32"/>
          <w:szCs w:val="32"/>
        </w:rPr>
        <w:t>保障农村集体经济组织</w:t>
      </w:r>
      <w:r>
        <w:rPr>
          <w:rFonts w:hint="eastAsia" w:ascii="仿宋_GB2312" w:hAnsi="仿宋_GB2312" w:eastAsia="仿宋_GB2312" w:cs="仿宋_GB2312"/>
          <w:color w:val="auto"/>
          <w:sz w:val="32"/>
          <w:szCs w:val="32"/>
          <w:lang w:val="en-US" w:eastAsia="zh-CN"/>
        </w:rPr>
        <w:t>及其</w:t>
      </w:r>
      <w:r>
        <w:rPr>
          <w:rFonts w:hint="eastAsia" w:ascii="仿宋_GB2312" w:hAnsi="仿宋_GB2312" w:eastAsia="仿宋_GB2312" w:cs="仿宋_GB2312"/>
          <w:color w:val="auto"/>
          <w:sz w:val="32"/>
          <w:szCs w:val="32"/>
        </w:rPr>
        <w:t>成员合法权益，结合我</w:t>
      </w:r>
      <w:r>
        <w:rPr>
          <w:rFonts w:hint="eastAsia" w:ascii="仿宋_GB2312" w:hAnsi="仿宋_GB2312" w:eastAsia="仿宋_GB2312" w:cs="仿宋_GB2312"/>
          <w:color w:val="auto"/>
          <w:sz w:val="32"/>
          <w:szCs w:val="32"/>
          <w:lang w:val="en-US" w:eastAsia="zh-CN"/>
        </w:rPr>
        <w:t>市</w:t>
      </w:r>
      <w:r>
        <w:rPr>
          <w:rFonts w:hint="eastAsia" w:ascii="仿宋_GB2312" w:hAnsi="仿宋_GB2312" w:eastAsia="仿宋_GB2312" w:cs="仿宋_GB2312"/>
          <w:color w:val="auto"/>
          <w:sz w:val="32"/>
          <w:szCs w:val="32"/>
        </w:rPr>
        <w:t>实际，制定本工作方案</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_GB2312" w:eastAsia="楷体_GB2312" w:cs="楷体_GB2312"/>
          <w:color w:val="auto"/>
          <w:sz w:val="32"/>
          <w:szCs w:val="32"/>
        </w:rPr>
      </w:pPr>
      <w:r>
        <w:rPr>
          <w:rFonts w:hint="eastAsia" w:ascii="黑体" w:hAnsi="黑体" w:eastAsia="黑体" w:cs="黑体"/>
          <w:color w:val="auto"/>
          <w:sz w:val="32"/>
          <w:szCs w:val="32"/>
        </w:rPr>
        <w:t>一、总体要求</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pacing w:val="0"/>
          <w:sz w:val="32"/>
          <w:szCs w:val="32"/>
          <w:u w:val="none"/>
          <w:lang w:val="en-US" w:eastAsia="zh-CN"/>
        </w:rPr>
      </w:pPr>
      <w:r>
        <w:rPr>
          <w:rFonts w:hint="eastAsia" w:ascii="楷体_GB2312" w:hAnsi="楷体_GB2312" w:eastAsia="楷体_GB2312" w:cs="楷体_GB2312"/>
          <w:color w:val="auto"/>
          <w:sz w:val="32"/>
          <w:szCs w:val="32"/>
        </w:rPr>
        <w:t>（一）主要目标</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以</w:t>
      </w:r>
      <w:r>
        <w:rPr>
          <w:rFonts w:hint="eastAsia" w:ascii="仿宋_GB2312" w:hAnsi="仿宋_GB2312" w:eastAsia="仿宋_GB2312" w:cs="仿宋_GB2312"/>
          <w:color w:val="auto"/>
          <w:sz w:val="32"/>
          <w:szCs w:val="32"/>
          <w:lang w:val="en-US" w:eastAsia="zh-CN"/>
        </w:rPr>
        <w:t>促进</w:t>
      </w:r>
      <w:r>
        <w:rPr>
          <w:rFonts w:hint="eastAsia" w:ascii="仿宋_GB2312" w:hAnsi="仿宋_GB2312" w:eastAsia="仿宋_GB2312" w:cs="仿宋_GB2312"/>
          <w:color w:val="auto"/>
          <w:sz w:val="32"/>
          <w:szCs w:val="32"/>
        </w:rPr>
        <w:t>农村</w:t>
      </w:r>
      <w:r>
        <w:rPr>
          <w:rFonts w:hint="eastAsia" w:ascii="仿宋_GB2312" w:hAnsi="仿宋_GB2312" w:eastAsia="仿宋_GB2312" w:cs="仿宋_GB2312"/>
          <w:color w:val="auto"/>
          <w:sz w:val="32"/>
          <w:szCs w:val="32"/>
          <w:lang w:val="en-US" w:eastAsia="zh-CN"/>
        </w:rPr>
        <w:t>集体</w:t>
      </w:r>
      <w:r>
        <w:rPr>
          <w:rFonts w:hint="eastAsia" w:ascii="仿宋_GB2312" w:hAnsi="仿宋_GB2312" w:eastAsia="仿宋_GB2312" w:cs="仿宋_GB2312"/>
          <w:color w:val="auto"/>
          <w:sz w:val="32"/>
          <w:szCs w:val="32"/>
        </w:rPr>
        <w:t>产权</w:t>
      </w:r>
      <w:r>
        <w:rPr>
          <w:rFonts w:hint="eastAsia" w:ascii="仿宋_GB2312" w:hAnsi="仿宋_GB2312" w:eastAsia="仿宋_GB2312" w:cs="仿宋_GB2312"/>
          <w:color w:val="auto"/>
          <w:sz w:val="32"/>
          <w:szCs w:val="32"/>
          <w:lang w:val="en-US" w:eastAsia="zh-CN"/>
        </w:rPr>
        <w:t>规范流转</w:t>
      </w:r>
      <w:r>
        <w:rPr>
          <w:rFonts w:hint="eastAsia" w:ascii="仿宋_GB2312" w:hAnsi="仿宋_GB2312" w:eastAsia="仿宋_GB2312" w:cs="仿宋_GB2312"/>
          <w:color w:val="auto"/>
          <w:sz w:val="32"/>
          <w:szCs w:val="32"/>
        </w:rPr>
        <w:t>交易为主线，进一步明晰</w:t>
      </w:r>
      <w:r>
        <w:rPr>
          <w:rFonts w:hint="eastAsia" w:ascii="仿宋_GB2312" w:hAnsi="仿宋_GB2312" w:eastAsia="仿宋_GB2312" w:cs="仿宋_GB2312"/>
          <w:color w:val="auto"/>
          <w:sz w:val="32"/>
          <w:szCs w:val="32"/>
          <w:lang w:val="en-US" w:eastAsia="zh-CN"/>
        </w:rPr>
        <w:t>行政</w:t>
      </w:r>
      <w:r>
        <w:rPr>
          <w:rFonts w:hint="eastAsia" w:ascii="仿宋_GB2312" w:hAnsi="仿宋_GB2312" w:eastAsia="仿宋_GB2312" w:cs="仿宋_GB2312"/>
          <w:color w:val="auto"/>
          <w:sz w:val="32"/>
          <w:szCs w:val="32"/>
        </w:rPr>
        <w:t>主管部门、</w:t>
      </w:r>
      <w:r>
        <w:rPr>
          <w:rFonts w:hint="eastAsia" w:ascii="仿宋_GB2312" w:hAnsi="仿宋_GB2312" w:eastAsia="仿宋_GB2312" w:cs="仿宋_GB2312"/>
          <w:color w:val="auto"/>
          <w:sz w:val="32"/>
          <w:szCs w:val="32"/>
          <w:lang w:val="en-US" w:eastAsia="zh-CN"/>
        </w:rPr>
        <w:t>农村</w:t>
      </w:r>
      <w:r>
        <w:rPr>
          <w:rFonts w:hint="eastAsia" w:ascii="仿宋_GB2312" w:hAnsi="仿宋_GB2312" w:eastAsia="仿宋_GB2312" w:cs="仿宋_GB2312"/>
          <w:color w:val="auto"/>
          <w:sz w:val="32"/>
          <w:szCs w:val="32"/>
        </w:rPr>
        <w:t>产权交易</w:t>
      </w:r>
      <w:r>
        <w:rPr>
          <w:rFonts w:hint="eastAsia" w:ascii="仿宋_GB2312" w:hAnsi="仿宋_GB2312" w:eastAsia="仿宋_GB2312" w:cs="仿宋_GB2312"/>
          <w:color w:val="auto"/>
          <w:sz w:val="32"/>
          <w:szCs w:val="32"/>
          <w:lang w:val="en-US" w:eastAsia="zh-CN"/>
        </w:rPr>
        <w:t>平台</w:t>
      </w:r>
      <w:r>
        <w:rPr>
          <w:rFonts w:hint="eastAsia" w:ascii="仿宋_GB2312" w:hAnsi="仿宋_GB2312" w:eastAsia="仿宋_GB2312" w:cs="仿宋_GB2312"/>
          <w:color w:val="auto"/>
          <w:sz w:val="32"/>
          <w:szCs w:val="32"/>
        </w:rPr>
        <w:t>、村级组织</w:t>
      </w:r>
      <w:r>
        <w:rPr>
          <w:rFonts w:hint="eastAsia" w:ascii="仿宋_GB2312" w:hAnsi="仿宋_GB2312" w:eastAsia="仿宋_GB2312" w:cs="仿宋_GB2312"/>
          <w:color w:val="auto"/>
          <w:sz w:val="32"/>
          <w:szCs w:val="32"/>
          <w:lang w:eastAsia="zh-CN"/>
        </w:rPr>
        <w:t>的</w:t>
      </w:r>
      <w:r>
        <w:rPr>
          <w:rFonts w:hint="eastAsia" w:ascii="仿宋_GB2312" w:hAnsi="仿宋_GB2312" w:eastAsia="仿宋_GB2312" w:cs="仿宋_GB2312"/>
          <w:color w:val="auto"/>
          <w:sz w:val="32"/>
          <w:szCs w:val="32"/>
        </w:rPr>
        <w:t>职责</w:t>
      </w:r>
      <w:r>
        <w:rPr>
          <w:rFonts w:hint="eastAsia" w:ascii="仿宋_GB2312" w:hAnsi="仿宋_GB2312" w:eastAsia="仿宋_GB2312" w:cs="仿宋_GB2312"/>
          <w:color w:val="auto"/>
          <w:sz w:val="32"/>
          <w:szCs w:val="32"/>
          <w:lang w:val="en-US" w:eastAsia="zh-CN"/>
        </w:rPr>
        <w:t>分工</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pacing w:val="0"/>
          <w:sz w:val="32"/>
          <w:szCs w:val="32"/>
          <w:u w:val="none"/>
          <w:lang w:val="en-US" w:eastAsia="zh-CN"/>
        </w:rPr>
        <w:t>构建公开、公平、公正、规范、高效的农村产权交易体系，形成部门监督管理、县乡统筹指导、平台推广运营、村级组织实施的闭环管理机制，</w:t>
      </w:r>
      <w:r>
        <w:rPr>
          <w:rFonts w:hint="eastAsia" w:ascii="仿宋_GB2312" w:hAnsi="仿宋_GB2312" w:eastAsia="仿宋_GB2312" w:cs="仿宋_GB2312"/>
          <w:color w:val="auto"/>
          <w:sz w:val="32"/>
          <w:szCs w:val="32"/>
        </w:rPr>
        <w:t>实现</w:t>
      </w:r>
      <w:r>
        <w:rPr>
          <w:rFonts w:hint="eastAsia" w:ascii="仿宋_GB2312" w:hAnsi="仿宋_GB2312" w:eastAsia="仿宋_GB2312" w:cs="仿宋_GB2312"/>
          <w:color w:val="auto"/>
          <w:sz w:val="32"/>
          <w:szCs w:val="32"/>
          <w:lang w:val="en-US" w:eastAsia="zh-CN"/>
        </w:rPr>
        <w:t>农村集体资产保值增值</w:t>
      </w:r>
      <w:r>
        <w:rPr>
          <w:rFonts w:hint="eastAsia" w:ascii="仿宋_GB2312" w:hAnsi="仿宋_GB2312" w:eastAsia="仿宋_GB2312" w:cs="仿宋_GB2312"/>
          <w:color w:val="auto"/>
          <w:spacing w:val="0"/>
          <w:sz w:val="32"/>
          <w:szCs w:val="32"/>
          <w:u w:val="none"/>
          <w:lang w:val="en-US" w:eastAsia="zh-CN"/>
        </w:rPr>
        <w:t>，推动新型农村集体经济健康发展和农民持续增收</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（二）基本原则</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坚持“应进必进、阳光交易”，守住农村集体资产不</w:t>
      </w:r>
      <w:r>
        <w:rPr>
          <w:rFonts w:hint="eastAsia" w:ascii="仿宋_GB2312" w:hAnsi="仿宋_GB2312" w:eastAsia="仿宋_GB2312" w:cs="仿宋_GB2312"/>
          <w:color w:val="auto"/>
          <w:sz w:val="32"/>
          <w:szCs w:val="32"/>
          <w:lang w:val="en-US" w:eastAsia="zh-CN"/>
        </w:rPr>
        <w:t>被侵占</w:t>
      </w:r>
      <w:r>
        <w:rPr>
          <w:rFonts w:hint="eastAsia" w:ascii="仿宋_GB2312" w:hAnsi="仿宋_GB2312" w:eastAsia="仿宋_GB2312" w:cs="仿宋_GB2312"/>
          <w:color w:val="auto"/>
          <w:sz w:val="32"/>
          <w:szCs w:val="32"/>
        </w:rPr>
        <w:t>流失底线；坚持“全域统筹、分级负责”，夯实县乡属地责任与部门监管责任；坚持“便民高效、市场运作”，优化交易流程和服务供给，</w:t>
      </w:r>
      <w:r>
        <w:rPr>
          <w:rFonts w:hint="eastAsia" w:ascii="仿宋_GB2312" w:hAnsi="仿宋_GB2312" w:eastAsia="仿宋_GB2312" w:cs="仿宋_GB2312"/>
          <w:color w:val="auto"/>
          <w:sz w:val="32"/>
          <w:szCs w:val="32"/>
          <w:lang w:val="en-US" w:eastAsia="zh-CN"/>
        </w:rPr>
        <w:t>有效</w:t>
      </w:r>
      <w:r>
        <w:rPr>
          <w:rFonts w:hint="eastAsia" w:ascii="仿宋_GB2312" w:hAnsi="仿宋_GB2312" w:eastAsia="仿宋_GB2312" w:cs="仿宋_GB2312"/>
          <w:color w:val="auto"/>
          <w:sz w:val="32"/>
          <w:szCs w:val="32"/>
        </w:rPr>
        <w:t>激发</w:t>
      </w:r>
      <w:r>
        <w:rPr>
          <w:rFonts w:hint="eastAsia" w:ascii="仿宋_GB2312" w:hAnsi="仿宋_GB2312" w:eastAsia="仿宋_GB2312" w:cs="仿宋_GB2312"/>
          <w:color w:val="auto"/>
          <w:sz w:val="32"/>
          <w:szCs w:val="32"/>
          <w:lang w:val="en-US" w:eastAsia="zh-CN"/>
        </w:rPr>
        <w:t>村集体</w:t>
      </w:r>
      <w:r>
        <w:rPr>
          <w:rFonts w:hint="eastAsia" w:ascii="仿宋_GB2312" w:hAnsi="仿宋_GB2312" w:eastAsia="仿宋_GB2312" w:cs="仿宋_GB2312"/>
          <w:color w:val="auto"/>
          <w:sz w:val="32"/>
          <w:szCs w:val="32"/>
        </w:rPr>
        <w:t>进场交易内生动力。</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二、重点任务</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rPr>
        <w:t>（一）</w:t>
      </w:r>
      <w:r>
        <w:rPr>
          <w:rFonts w:hint="eastAsia" w:ascii="楷体_GB2312" w:hAnsi="楷体_GB2312" w:eastAsia="楷体_GB2312" w:cs="楷体_GB2312"/>
          <w:color w:val="auto"/>
          <w:sz w:val="32"/>
          <w:szCs w:val="32"/>
          <w:lang w:val="en-US" w:eastAsia="zh-CN"/>
        </w:rPr>
        <w:t>摸清产权底数，夯实交易基础</w:t>
      </w:r>
    </w:p>
    <w:p>
      <w:pPr>
        <w:widowControl w:val="0"/>
        <w:numPr>
          <w:ilvl w:val="0"/>
          <w:numId w:val="0"/>
        </w:numPr>
        <w:wordWrap/>
        <w:adjustRightInd/>
        <w:snapToGrid/>
        <w:spacing w:line="600" w:lineRule="exact"/>
        <w:ind w:firstLine="643"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1.全面清产核资。</w:t>
      </w:r>
      <w:r>
        <w:rPr>
          <w:rFonts w:hint="eastAsia" w:ascii="仿宋_GB2312" w:hAnsi="仿宋_GB2312" w:eastAsia="仿宋_GB2312" w:cs="仿宋_GB2312"/>
          <w:color w:val="auto"/>
          <w:sz w:val="32"/>
          <w:szCs w:val="32"/>
          <w:lang w:val="en-US" w:eastAsia="zh-CN"/>
        </w:rPr>
        <w:t>清查范围为村集体</w:t>
      </w:r>
      <w:r>
        <w:rPr>
          <w:rFonts w:hint="eastAsia" w:ascii="仿宋_GB2312" w:eastAsia="仿宋_GB2312" w:cs="方正仿宋_GBK"/>
          <w:color w:val="auto"/>
          <w:sz w:val="32"/>
          <w:szCs w:val="32"/>
          <w:lang w:eastAsia="zh-CN" w:bidi="ar-SA"/>
        </w:rPr>
        <w:t>资源性资产</w:t>
      </w:r>
      <w:r>
        <w:rPr>
          <w:rFonts w:hint="eastAsia" w:ascii="仿宋_GB2312" w:hAnsi="仿宋_GB2312" w:eastAsia="仿宋_GB2312" w:cs="仿宋_GB2312"/>
          <w:color w:val="auto"/>
          <w:sz w:val="32"/>
          <w:szCs w:val="32"/>
          <w:lang w:val="en-US" w:eastAsia="zh-CN"/>
        </w:rPr>
        <w:t>、经营性资产和非经营性资产，包括货币资金、应收款项、固定资产等集体资产，农用地、建设用地、未利用地以及林地和林木资源等资源性资产，</w:t>
      </w:r>
      <w:r>
        <w:rPr>
          <w:rFonts w:hint="default" w:ascii="Times New Roman" w:hAnsi="Times New Roman" w:eastAsia="仿宋_GB2312" w:cs="Times New Roman"/>
          <w:bCs/>
          <w:color w:val="auto"/>
          <w:sz w:val="32"/>
          <w:szCs w:val="32"/>
          <w:u w:val="none"/>
        </w:rPr>
        <w:t>建</w:t>
      </w:r>
      <w:r>
        <w:rPr>
          <w:rFonts w:hint="default" w:ascii="仿宋_GB2312" w:hAnsi="仿宋_GB2312" w:eastAsia="仿宋_GB2312" w:cs="仿宋_GB2312"/>
          <w:color w:val="auto"/>
          <w:sz w:val="32"/>
          <w:szCs w:val="32"/>
          <w:lang w:val="en-US" w:eastAsia="zh-CN"/>
        </w:rPr>
        <w:t>立信息完整、分类规范、动态更新的资产资源台账</w:t>
      </w:r>
      <w:r>
        <w:rPr>
          <w:rFonts w:hint="eastAsia" w:ascii="仿宋_GB2312" w:hAnsi="仿宋_GB2312" w:eastAsia="仿宋_GB2312" w:cs="仿宋_GB2312"/>
          <w:color w:val="auto"/>
          <w:sz w:val="32"/>
          <w:szCs w:val="32"/>
          <w:lang w:val="en-US" w:eastAsia="zh-CN"/>
        </w:rPr>
        <w:t>，做到底数清、权属明、数据准。加强帮扶资产管理，对确权到农村集体经济组织的项目资产，按照规定做好权属确认、价值评估，在账实相符的基础上规范移交，并有序录入全国监管平台。开展村集体资产资源卡片信息线上登记录入工作，梳理建立闲置资产台账和盘活利用方案，实现全市农村集体资产资源动态化、规范化、可追溯管理。</w:t>
      </w:r>
    </w:p>
    <w:p>
      <w:pPr>
        <w:widowControl w:val="0"/>
        <w:numPr>
          <w:ilvl w:val="0"/>
          <w:numId w:val="0"/>
        </w:numPr>
        <w:wordWrap/>
        <w:adjustRightInd/>
        <w:snapToGrid/>
        <w:spacing w:line="600" w:lineRule="exact"/>
        <w:jc w:val="both"/>
        <w:textAlignment w:val="auto"/>
        <w:outlineLvl w:val="9"/>
        <w:rPr>
          <w:rFonts w:hint="eastAsia" w:ascii="楷体_GB2312" w:hAnsi="楷体_GB2312" w:eastAsia="楷体_GB2312" w:cs="楷体_GB2312"/>
          <w:color w:val="auto"/>
          <w:spacing w:val="0"/>
          <w:sz w:val="32"/>
          <w:szCs w:val="32"/>
          <w:highlight w:val="none"/>
          <w:u w:val="none"/>
          <w:lang w:val="en-US" w:eastAsia="zh-CN"/>
        </w:rPr>
      </w:pPr>
      <w:r>
        <w:rPr>
          <w:rFonts w:hint="eastAsia" w:ascii="楷体_GB2312" w:hAnsi="楷体_GB2312" w:eastAsia="楷体_GB2312" w:cs="楷体_GB2312"/>
          <w:color w:val="auto"/>
          <w:spacing w:val="0"/>
          <w:kern w:val="2"/>
          <w:sz w:val="32"/>
          <w:szCs w:val="32"/>
          <w:highlight w:val="none"/>
          <w:u w:val="none"/>
          <w:lang w:val="en-US" w:eastAsia="zh-CN"/>
        </w:rPr>
        <w:t>（</w:t>
      </w:r>
      <w:r>
        <w:rPr>
          <w:rFonts w:hint="eastAsia" w:ascii="楷体_GB2312" w:hAnsi="楷体_GB2312" w:eastAsia="楷体_GB2312" w:cs="楷体_GB2312"/>
          <w:color w:val="auto"/>
          <w:spacing w:val="0"/>
          <w:sz w:val="32"/>
          <w:szCs w:val="32"/>
          <w:highlight w:val="none"/>
          <w:u w:val="none"/>
          <w:lang w:val="en-US" w:eastAsia="zh-CN"/>
        </w:rPr>
        <w:t>责</w:t>
      </w:r>
      <w:r>
        <w:rPr>
          <w:rFonts w:hint="eastAsia" w:ascii="楷体_GB2312" w:hAnsi="楷体_GB2312" w:eastAsia="楷体_GB2312" w:cs="楷体_GB2312"/>
          <w:color w:val="auto"/>
          <w:spacing w:val="0"/>
          <w:sz w:val="32"/>
          <w:szCs w:val="32"/>
          <w:u w:val="none"/>
          <w:lang w:val="en-US" w:eastAsia="zh-CN"/>
        </w:rPr>
        <w:t>任单位：市、县农业农村局、自然资源局、林业局</w:t>
      </w:r>
      <w:r>
        <w:rPr>
          <w:rFonts w:hint="eastAsia" w:ascii="楷体_GB2312" w:hAnsi="楷体_GB2312" w:eastAsia="楷体_GB2312" w:cs="楷体_GB2312"/>
          <w:color w:val="auto"/>
          <w:spacing w:val="0"/>
          <w:sz w:val="32"/>
          <w:szCs w:val="32"/>
          <w:highlight w:val="none"/>
          <w:u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楷体_GB2312" w:hAnsi="楷体_GB2312" w:eastAsia="楷体_GB2312" w:cs="楷体_GB2312"/>
          <w:color w:val="auto"/>
          <w:spacing w:val="0"/>
          <w:sz w:val="32"/>
          <w:szCs w:val="32"/>
          <w:highlight w:val="none"/>
          <w:u w:val="none"/>
          <w:lang w:val="en-US" w:eastAsia="zh-CN"/>
        </w:rPr>
      </w:pPr>
      <w:r>
        <w:rPr>
          <w:rFonts w:hint="eastAsia" w:ascii="仿宋_GB2312" w:hAnsi="仿宋_GB2312" w:eastAsia="仿宋_GB2312" w:cs="仿宋_GB2312"/>
          <w:b/>
          <w:bCs/>
          <w:color w:val="auto"/>
          <w:sz w:val="32"/>
          <w:szCs w:val="32"/>
          <w:lang w:val="en-US" w:eastAsia="zh-CN"/>
        </w:rPr>
        <w:t>2.加强合同管理。</w:t>
      </w:r>
      <w:r>
        <w:rPr>
          <w:rFonts w:hint="eastAsia" w:ascii="仿宋_GB2312" w:hAnsi="仿宋_GB2312" w:eastAsia="仿宋_GB2312" w:cs="仿宋_GB2312"/>
          <w:color w:val="auto"/>
          <w:sz w:val="32"/>
          <w:szCs w:val="32"/>
          <w:lang w:val="en-US" w:eastAsia="zh-CN"/>
        </w:rPr>
        <w:t>全面梳理村集体经济合同存量底数，确保所有现行有效的村集体经济合同全部录入上传省农村集体资产监督管理平台。健全合同到期预警机制，利用村级合同网上公开系统到期预警信息，对即将流转到期的集体资产资源，提前至少3个月进行“农业部门+交易中心”双向预警，提醒村集体及时开展到期资产资源新一轮流转交易，严格履行民主决策程序，按照规定及时进入农村产权交易市场实施公开流转交易，坚决杜绝场外交易、低价处置集体资产等行为。</w:t>
      </w:r>
      <w:r>
        <w:rPr>
          <w:rFonts w:hint="eastAsia" w:ascii="楷体_GB2312" w:hAnsi="楷体_GB2312" w:eastAsia="楷体_GB2312" w:cs="楷体_GB2312"/>
          <w:color w:val="auto"/>
          <w:spacing w:val="0"/>
          <w:kern w:val="2"/>
          <w:sz w:val="32"/>
          <w:szCs w:val="32"/>
          <w:highlight w:val="none"/>
          <w:u w:val="none"/>
          <w:lang w:val="en-US" w:eastAsia="zh-CN"/>
        </w:rPr>
        <w:t>（</w:t>
      </w:r>
      <w:r>
        <w:rPr>
          <w:rFonts w:hint="eastAsia" w:ascii="楷体_GB2312" w:hAnsi="楷体_GB2312" w:eastAsia="楷体_GB2312" w:cs="楷体_GB2312"/>
          <w:color w:val="auto"/>
          <w:spacing w:val="0"/>
          <w:sz w:val="32"/>
          <w:szCs w:val="32"/>
          <w:highlight w:val="none"/>
          <w:u w:val="none"/>
          <w:lang w:val="en-US" w:eastAsia="zh-CN"/>
        </w:rPr>
        <w:t>责</w:t>
      </w:r>
      <w:r>
        <w:rPr>
          <w:rFonts w:hint="eastAsia" w:ascii="楷体_GB2312" w:hAnsi="楷体_GB2312" w:eastAsia="楷体_GB2312" w:cs="楷体_GB2312"/>
          <w:color w:val="auto"/>
          <w:spacing w:val="0"/>
          <w:sz w:val="32"/>
          <w:szCs w:val="32"/>
          <w:u w:val="none"/>
          <w:lang w:val="en-US" w:eastAsia="zh-CN"/>
        </w:rPr>
        <w:t>任单位：市、县农业农村局，市投资集团</w:t>
      </w:r>
      <w:r>
        <w:rPr>
          <w:rFonts w:hint="eastAsia" w:ascii="楷体_GB2312" w:hAnsi="楷体_GB2312" w:eastAsia="楷体_GB2312" w:cs="楷体_GB2312"/>
          <w:color w:val="auto"/>
          <w:spacing w:val="0"/>
          <w:sz w:val="32"/>
          <w:szCs w:val="32"/>
          <w:highlight w:val="none"/>
          <w:u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（二）明确进场标准，强化日常监督</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楷体_GB2312" w:hAnsi="楷体_GB2312" w:eastAsia="楷体_GB2312" w:cs="楷体_GB2312"/>
          <w:color w:val="auto"/>
          <w:spacing w:val="0"/>
          <w:sz w:val="32"/>
          <w:szCs w:val="32"/>
          <w:highlight w:val="none"/>
          <w:u w:val="none"/>
          <w:lang w:val="en-US" w:eastAsia="zh-CN"/>
        </w:rPr>
      </w:pPr>
      <w:r>
        <w:rPr>
          <w:rFonts w:hint="eastAsia" w:ascii="仿宋_GB2312" w:hAnsi="Calibri" w:eastAsia="仿宋_GB2312" w:cs="方正仿宋_GBK"/>
          <w:b/>
          <w:bCs/>
          <w:color w:val="auto"/>
          <w:sz w:val="32"/>
          <w:szCs w:val="32"/>
          <w:lang w:val="en-US" w:eastAsia="zh-CN" w:bidi="ar-SA"/>
        </w:rPr>
        <w:t>3.推动“应进必进”。</w:t>
      </w:r>
      <w:r>
        <w:rPr>
          <w:rFonts w:hint="eastAsia" w:ascii="仿宋_GB2312" w:hAnsi="仿宋_GB2312" w:eastAsia="仿宋_GB2312" w:cs="仿宋_GB2312"/>
          <w:color w:val="auto"/>
          <w:sz w:val="32"/>
          <w:szCs w:val="32"/>
          <w:lang w:val="en-US" w:eastAsia="zh-CN"/>
        </w:rPr>
        <w:t>根据《三明市“全资源、全要素”流转交易目录》，推动农村产权应进必进、能进则进。单笔标的额10万元以上的农村集体产权流转项目，必须进入农村产权流转交易市场公开交易，县级人民政府有其他要求的从其规定。农户、经营主体等委托村集体统一流转的农村土地经营权，以及农业社会服务项目，需求归集后进入农村产权交易平台规范交易。对于限额以下的农村集体产权流转，可参照限额以上施行。限额以下未进入农村产权交易市场公开交易的，须按照相关工作要求经民主决策和公示后，在签订合同之日起15个工作日内填写《三明市农村产权流转交易未进场交易项目汇总表》（附件），报乡镇备案，并由乡镇按季度汇总报送县级农业农村部门。</w:t>
      </w:r>
      <w:r>
        <w:rPr>
          <w:rFonts w:hint="eastAsia" w:ascii="楷体_GB2312" w:hAnsi="楷体_GB2312" w:eastAsia="楷体_GB2312" w:cs="楷体_GB2312"/>
          <w:color w:val="auto"/>
          <w:spacing w:val="0"/>
          <w:kern w:val="2"/>
          <w:sz w:val="32"/>
          <w:szCs w:val="32"/>
          <w:highlight w:val="none"/>
          <w:u w:val="none"/>
          <w:lang w:val="en-US" w:eastAsia="zh-CN"/>
        </w:rPr>
        <w:t>（</w:t>
      </w:r>
      <w:r>
        <w:rPr>
          <w:rFonts w:hint="eastAsia" w:ascii="楷体_GB2312" w:hAnsi="楷体_GB2312" w:eastAsia="楷体_GB2312" w:cs="楷体_GB2312"/>
          <w:color w:val="auto"/>
          <w:spacing w:val="0"/>
          <w:sz w:val="32"/>
          <w:szCs w:val="32"/>
          <w:highlight w:val="none"/>
          <w:u w:val="none"/>
          <w:lang w:val="en-US" w:eastAsia="zh-CN"/>
        </w:rPr>
        <w:t>责</w:t>
      </w:r>
      <w:r>
        <w:rPr>
          <w:rFonts w:hint="eastAsia" w:ascii="楷体_GB2312" w:hAnsi="楷体_GB2312" w:eastAsia="楷体_GB2312" w:cs="楷体_GB2312"/>
          <w:color w:val="auto"/>
          <w:spacing w:val="0"/>
          <w:sz w:val="32"/>
          <w:szCs w:val="32"/>
          <w:u w:val="none"/>
          <w:lang w:val="en-US" w:eastAsia="zh-CN"/>
        </w:rPr>
        <w:t>任单位：市、县农业农村局</w:t>
      </w:r>
      <w:r>
        <w:rPr>
          <w:rFonts w:hint="eastAsia" w:ascii="楷体_GB2312" w:hAnsi="楷体_GB2312" w:eastAsia="楷体_GB2312" w:cs="楷体_GB2312"/>
          <w:color w:val="auto"/>
          <w:spacing w:val="0"/>
          <w:sz w:val="32"/>
          <w:szCs w:val="32"/>
          <w:highlight w:val="none"/>
          <w:u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楷体_GB2312" w:hAnsi="楷体_GB2312" w:eastAsia="楷体_GB2312" w:cs="楷体_GB2312"/>
          <w:color w:val="auto"/>
          <w:spacing w:val="0"/>
          <w:sz w:val="32"/>
          <w:szCs w:val="32"/>
          <w:highlight w:val="none"/>
          <w:u w:val="none"/>
          <w:lang w:val="en-US" w:eastAsia="zh-CN"/>
        </w:rPr>
      </w:pPr>
      <w:r>
        <w:rPr>
          <w:rFonts w:hint="eastAsia" w:ascii="仿宋_GB2312" w:hAnsi="Calibri" w:eastAsia="仿宋_GB2312" w:cs="方正仿宋_GBK"/>
          <w:b/>
          <w:bCs/>
          <w:color w:val="auto"/>
          <w:sz w:val="32"/>
          <w:szCs w:val="32"/>
          <w:lang w:val="en-US" w:eastAsia="zh-CN" w:bidi="ar-SA"/>
        </w:rPr>
        <w:t>4.加强监督管理。</w:t>
      </w:r>
      <w:r>
        <w:rPr>
          <w:rFonts w:hint="eastAsia" w:ascii="仿宋_GB2312" w:hAnsi="仿宋_GB2312" w:eastAsia="仿宋_GB2312" w:cs="仿宋_GB2312"/>
          <w:color w:val="auto"/>
          <w:sz w:val="32"/>
          <w:szCs w:val="32"/>
        </w:rPr>
        <w:t>科学管控优质资源流转</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立足长远产业发展，合理规划优质集体资源流转年限</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加强常态化监督管理，对限额以上未在农村产权交易市场公开交易、限额以下未在农村产权交易市场公开交易且未报备的，由乡镇主管部门发出整改通知书限期整改，对情节严重的及时移送有关机关处理。</w:t>
      </w:r>
      <w:r>
        <w:rPr>
          <w:rFonts w:hint="eastAsia" w:ascii="仿宋_GB2312" w:hAnsi="仿宋_GB2312" w:eastAsia="仿宋_GB2312" w:cs="仿宋_GB2312"/>
          <w:color w:val="auto"/>
          <w:sz w:val="32"/>
          <w:szCs w:val="32"/>
        </w:rPr>
        <w:t>乡镇</w:t>
      </w:r>
      <w:r>
        <w:rPr>
          <w:rFonts w:hint="eastAsia" w:ascii="仿宋_GB2312" w:hAnsi="仿宋_GB2312" w:eastAsia="仿宋_GB2312" w:cs="仿宋_GB2312"/>
          <w:color w:val="auto"/>
          <w:sz w:val="32"/>
          <w:szCs w:val="32"/>
          <w:lang w:val="en-US" w:eastAsia="zh-CN"/>
        </w:rPr>
        <w:t>（街道）要</w:t>
      </w:r>
      <w:r>
        <w:rPr>
          <w:rFonts w:hint="eastAsia" w:ascii="仿宋_GB2312" w:hAnsi="仿宋_GB2312" w:eastAsia="仿宋_GB2312" w:cs="仿宋_GB2312"/>
          <w:color w:val="auto"/>
          <w:sz w:val="32"/>
          <w:szCs w:val="32"/>
        </w:rPr>
        <w:t>前移审核关口，对村集体</w:t>
      </w:r>
      <w:r>
        <w:rPr>
          <w:rFonts w:hint="eastAsia" w:ascii="仿宋_GB2312" w:hAnsi="仿宋_GB2312" w:eastAsia="仿宋_GB2312" w:cs="仿宋_GB2312"/>
          <w:color w:val="auto"/>
          <w:sz w:val="32"/>
          <w:szCs w:val="32"/>
          <w:lang w:val="en-US" w:eastAsia="zh-CN"/>
        </w:rPr>
        <w:t>产权流转交易</w:t>
      </w:r>
      <w:r>
        <w:rPr>
          <w:rFonts w:hint="eastAsia" w:ascii="仿宋_GB2312" w:hAnsi="仿宋_GB2312" w:eastAsia="仿宋_GB2312" w:cs="仿宋_GB2312"/>
          <w:color w:val="auto"/>
          <w:sz w:val="32"/>
          <w:szCs w:val="32"/>
        </w:rPr>
        <w:t>实行前置审核、提前介入</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主动引导村级通过</w:t>
      </w:r>
      <w:r>
        <w:rPr>
          <w:rFonts w:hint="eastAsia" w:ascii="仿宋_GB2312" w:hAnsi="仿宋_GB2312" w:eastAsia="仿宋_GB2312" w:cs="仿宋_GB2312"/>
          <w:color w:val="auto"/>
          <w:sz w:val="32"/>
          <w:szCs w:val="32"/>
          <w:lang w:val="en-US" w:eastAsia="zh-CN"/>
        </w:rPr>
        <w:t>农村产权交易市场</w:t>
      </w:r>
      <w:r>
        <w:rPr>
          <w:rFonts w:hint="eastAsia" w:ascii="仿宋_GB2312" w:hAnsi="仿宋_GB2312" w:eastAsia="仿宋_GB2312" w:cs="仿宋_GB2312"/>
          <w:color w:val="auto"/>
          <w:sz w:val="32"/>
          <w:szCs w:val="32"/>
        </w:rPr>
        <w:t>公开交易，坚决杜绝私下定向发包、规避进场交易等行为</w:t>
      </w:r>
      <w:r>
        <w:rPr>
          <w:rFonts w:hint="eastAsia" w:ascii="仿宋_GB2312" w:hAnsi="仿宋_GB2312" w:eastAsia="仿宋_GB2312" w:cs="仿宋_GB2312"/>
          <w:color w:val="auto"/>
          <w:sz w:val="32"/>
          <w:szCs w:val="32"/>
          <w:lang w:eastAsia="zh-CN"/>
        </w:rPr>
        <w:t>。</w:t>
      </w:r>
      <w:r>
        <w:rPr>
          <w:rFonts w:hint="eastAsia" w:ascii="楷体_GB2312" w:hAnsi="楷体_GB2312" w:eastAsia="楷体_GB2312" w:cs="楷体_GB2312"/>
          <w:color w:val="auto"/>
          <w:spacing w:val="0"/>
          <w:kern w:val="2"/>
          <w:sz w:val="32"/>
          <w:szCs w:val="32"/>
          <w:highlight w:val="none"/>
          <w:u w:val="none"/>
          <w:lang w:val="en-US" w:eastAsia="zh-CN"/>
        </w:rPr>
        <w:t>（</w:t>
      </w:r>
      <w:r>
        <w:rPr>
          <w:rFonts w:hint="eastAsia" w:ascii="楷体_GB2312" w:hAnsi="楷体_GB2312" w:eastAsia="楷体_GB2312" w:cs="楷体_GB2312"/>
          <w:color w:val="auto"/>
          <w:spacing w:val="0"/>
          <w:sz w:val="32"/>
          <w:szCs w:val="32"/>
          <w:highlight w:val="none"/>
          <w:u w:val="none"/>
          <w:lang w:val="en-US" w:eastAsia="zh-CN"/>
        </w:rPr>
        <w:t>责</w:t>
      </w:r>
      <w:r>
        <w:rPr>
          <w:rFonts w:hint="eastAsia" w:ascii="楷体_GB2312" w:hAnsi="楷体_GB2312" w:eastAsia="楷体_GB2312" w:cs="楷体_GB2312"/>
          <w:color w:val="auto"/>
          <w:spacing w:val="0"/>
          <w:sz w:val="32"/>
          <w:szCs w:val="32"/>
          <w:u w:val="none"/>
          <w:lang w:val="en-US" w:eastAsia="zh-CN"/>
        </w:rPr>
        <w:t>任单位：市、县农业农村局</w:t>
      </w:r>
      <w:r>
        <w:rPr>
          <w:rFonts w:hint="eastAsia" w:ascii="楷体_GB2312" w:hAnsi="楷体_GB2312" w:eastAsia="楷体_GB2312" w:cs="楷体_GB2312"/>
          <w:color w:val="auto"/>
          <w:spacing w:val="0"/>
          <w:sz w:val="32"/>
          <w:szCs w:val="32"/>
          <w:highlight w:val="none"/>
          <w:u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（三）加强宣传引导，提升服务质效</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楷体_GB2312" w:hAnsi="楷体_GB2312" w:eastAsia="楷体_GB2312" w:cs="楷体_GB2312"/>
          <w:color w:val="auto"/>
          <w:spacing w:val="0"/>
          <w:sz w:val="32"/>
          <w:szCs w:val="32"/>
          <w:highlight w:val="none"/>
          <w:u w:val="none"/>
          <w:lang w:val="en-US" w:eastAsia="zh-CN"/>
        </w:rPr>
      </w:pPr>
      <w:r>
        <w:rPr>
          <w:rFonts w:hint="eastAsia" w:ascii="仿宋_GB2312" w:hAnsi="仿宋_GB2312" w:eastAsia="仿宋_GB2312" w:cs="仿宋_GB2312"/>
          <w:b/>
          <w:bCs/>
          <w:color w:val="auto"/>
          <w:sz w:val="32"/>
          <w:szCs w:val="32"/>
          <w:lang w:val="en-US" w:eastAsia="zh-CN"/>
        </w:rPr>
        <w:t>5.建好基层服务点。</w:t>
      </w:r>
      <w:r>
        <w:rPr>
          <w:rFonts w:hint="eastAsia" w:ascii="仿宋_GB2312" w:hAnsi="仿宋_GB2312" w:eastAsia="仿宋_GB2312" w:cs="仿宋_GB2312"/>
          <w:b w:val="0"/>
          <w:bCs w:val="0"/>
          <w:color w:val="auto"/>
          <w:sz w:val="32"/>
          <w:szCs w:val="32"/>
          <w:lang w:val="en-US" w:eastAsia="zh-CN"/>
        </w:rPr>
        <w:t>持续健全完善市县乡村四级联动农村产权流转交易服务体系，重点打造好县、乡服务窗口。县级服务机构要加强队伍建设，至少有2名专职人员开展日常交易服务；</w:t>
      </w:r>
      <w:r>
        <w:rPr>
          <w:rFonts w:hint="eastAsia" w:ascii="仿宋_GB2312" w:hAnsi="仿宋_GB2312" w:eastAsia="仿宋_GB2312" w:cs="仿宋_GB2312"/>
          <w:color w:val="auto"/>
          <w:sz w:val="32"/>
          <w:szCs w:val="32"/>
        </w:rPr>
        <w:t>乡镇</w:t>
      </w:r>
      <w:r>
        <w:rPr>
          <w:rFonts w:hint="eastAsia" w:ascii="仿宋_GB2312" w:hAnsi="仿宋_GB2312" w:eastAsia="仿宋_GB2312" w:cs="仿宋_GB2312"/>
          <w:color w:val="auto"/>
          <w:sz w:val="32"/>
          <w:szCs w:val="32"/>
          <w:lang w:val="en-US" w:eastAsia="zh-CN"/>
        </w:rPr>
        <w:t>根据实际情况</w:t>
      </w:r>
      <w:r>
        <w:rPr>
          <w:rFonts w:hint="eastAsia" w:ascii="仿宋_GB2312" w:hAnsi="仿宋_GB2312" w:eastAsia="仿宋_GB2312" w:cs="仿宋_GB2312"/>
          <w:color w:val="auto"/>
          <w:sz w:val="32"/>
          <w:szCs w:val="32"/>
        </w:rPr>
        <w:t>设立固定服务窗口</w:t>
      </w:r>
      <w:r>
        <w:rPr>
          <w:rFonts w:hint="eastAsia" w:ascii="仿宋_GB2312" w:hAnsi="仿宋_GB2312" w:eastAsia="仿宋_GB2312" w:cs="仿宋_GB2312"/>
          <w:color w:val="auto"/>
          <w:sz w:val="32"/>
          <w:szCs w:val="32"/>
          <w:lang w:val="en-US" w:eastAsia="zh-CN"/>
        </w:rPr>
        <w:t>或者由专人负责</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常态化开展村级业务指导，</w:t>
      </w:r>
      <w:r>
        <w:rPr>
          <w:rFonts w:hint="eastAsia" w:ascii="仿宋_GB2312" w:hAnsi="仿宋_GB2312" w:eastAsia="仿宋_GB2312" w:cs="仿宋_GB2312"/>
          <w:b w:val="0"/>
          <w:bCs w:val="0"/>
          <w:color w:val="auto"/>
          <w:sz w:val="32"/>
          <w:szCs w:val="32"/>
          <w:lang w:val="en-US" w:eastAsia="zh-CN"/>
        </w:rPr>
        <w:t>切实打通基层服务“最后一公里”。</w:t>
      </w:r>
      <w:r>
        <w:rPr>
          <w:rFonts w:hint="eastAsia" w:ascii="楷体_GB2312" w:hAnsi="楷体_GB2312" w:eastAsia="楷体_GB2312" w:cs="楷体_GB2312"/>
          <w:color w:val="auto"/>
          <w:spacing w:val="0"/>
          <w:kern w:val="2"/>
          <w:sz w:val="32"/>
          <w:szCs w:val="32"/>
          <w:highlight w:val="none"/>
          <w:u w:val="none"/>
          <w:lang w:val="en-US" w:eastAsia="zh-CN"/>
        </w:rPr>
        <w:t>（</w:t>
      </w:r>
      <w:r>
        <w:rPr>
          <w:rFonts w:hint="eastAsia" w:ascii="楷体_GB2312" w:hAnsi="楷体_GB2312" w:eastAsia="楷体_GB2312" w:cs="楷体_GB2312"/>
          <w:color w:val="auto"/>
          <w:spacing w:val="0"/>
          <w:sz w:val="32"/>
          <w:szCs w:val="32"/>
          <w:highlight w:val="none"/>
          <w:u w:val="none"/>
          <w:lang w:val="en-US" w:eastAsia="zh-CN"/>
        </w:rPr>
        <w:t>责</w:t>
      </w:r>
      <w:r>
        <w:rPr>
          <w:rFonts w:hint="eastAsia" w:ascii="楷体_GB2312" w:hAnsi="楷体_GB2312" w:eastAsia="楷体_GB2312" w:cs="楷体_GB2312"/>
          <w:color w:val="auto"/>
          <w:spacing w:val="0"/>
          <w:sz w:val="32"/>
          <w:szCs w:val="32"/>
          <w:u w:val="none"/>
          <w:lang w:val="en-US" w:eastAsia="zh-CN"/>
        </w:rPr>
        <w:t>任单位：市投资集团，市、县农业农村局</w:t>
      </w:r>
      <w:r>
        <w:rPr>
          <w:rFonts w:hint="eastAsia" w:ascii="楷体_GB2312" w:hAnsi="楷体_GB2312" w:eastAsia="楷体_GB2312" w:cs="楷体_GB2312"/>
          <w:color w:val="auto"/>
          <w:spacing w:val="0"/>
          <w:sz w:val="32"/>
          <w:szCs w:val="32"/>
          <w:highlight w:val="none"/>
          <w:u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楷体_GB2312" w:hAnsi="楷体_GB2312" w:eastAsia="楷体_GB2312" w:cs="楷体_GB2312"/>
          <w:color w:val="auto"/>
          <w:spacing w:val="0"/>
          <w:sz w:val="32"/>
          <w:szCs w:val="32"/>
          <w:highlight w:val="none"/>
          <w:u w:val="none"/>
          <w:lang w:val="en-US" w:eastAsia="zh-CN"/>
        </w:rPr>
      </w:pPr>
      <w:r>
        <w:rPr>
          <w:rFonts w:hint="eastAsia" w:ascii="仿宋_GB2312" w:hAnsi="仿宋_GB2312" w:eastAsia="仿宋_GB2312" w:cs="仿宋_GB2312"/>
          <w:b/>
          <w:bCs/>
          <w:color w:val="auto"/>
          <w:sz w:val="32"/>
          <w:szCs w:val="32"/>
          <w:lang w:val="en-US" w:eastAsia="zh-CN"/>
        </w:rPr>
        <w:t>6.优化交易服务。</w:t>
      </w:r>
      <w:r>
        <w:rPr>
          <w:rFonts w:hint="eastAsia" w:ascii="仿宋_GB2312" w:hAnsi="仿宋_GB2312" w:eastAsia="仿宋_GB2312" w:cs="仿宋_GB2312"/>
          <w:color w:val="auto"/>
          <w:sz w:val="32"/>
          <w:szCs w:val="32"/>
        </w:rPr>
        <w:t>落实公益化交易减免政策</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制定</w:t>
      </w:r>
      <w:r>
        <w:rPr>
          <w:rFonts w:hint="eastAsia" w:ascii="仿宋_GB2312" w:hAnsi="仿宋_GB2312" w:eastAsia="仿宋_GB2312" w:cs="仿宋_GB2312"/>
          <w:color w:val="auto"/>
          <w:sz w:val="32"/>
          <w:szCs w:val="32"/>
        </w:rPr>
        <w:t>减免村集体经营性资产产权交易服务费</w:t>
      </w:r>
      <w:r>
        <w:rPr>
          <w:rFonts w:hint="eastAsia" w:ascii="仿宋_GB2312" w:hAnsi="仿宋_GB2312" w:eastAsia="仿宋_GB2312" w:cs="仿宋_GB2312"/>
          <w:color w:val="auto"/>
          <w:sz w:val="32"/>
          <w:szCs w:val="32"/>
          <w:lang w:val="en-US" w:eastAsia="zh-CN"/>
        </w:rPr>
        <w:t>规则</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适当</w:t>
      </w:r>
      <w:r>
        <w:rPr>
          <w:rFonts w:hint="eastAsia" w:ascii="仿宋_GB2312" w:hAnsi="仿宋_GB2312" w:eastAsia="仿宋_GB2312" w:cs="仿宋_GB2312"/>
          <w:color w:val="auto"/>
          <w:sz w:val="32"/>
          <w:szCs w:val="32"/>
        </w:rPr>
        <w:t>下调村级小</w:t>
      </w:r>
      <w:r>
        <w:rPr>
          <w:rFonts w:hint="eastAsia" w:ascii="仿宋_GB2312" w:hAnsi="仿宋_GB2312" w:eastAsia="仿宋_GB2312" w:cs="仿宋_GB2312"/>
          <w:color w:val="auto"/>
          <w:sz w:val="32"/>
          <w:szCs w:val="32"/>
          <w:lang w:val="en-US" w:eastAsia="zh-CN"/>
        </w:rPr>
        <w:t>微</w:t>
      </w:r>
      <w:r>
        <w:rPr>
          <w:rFonts w:hint="eastAsia" w:ascii="仿宋_GB2312" w:hAnsi="仿宋_GB2312" w:eastAsia="仿宋_GB2312" w:cs="仿宋_GB2312"/>
          <w:color w:val="auto"/>
          <w:sz w:val="32"/>
          <w:szCs w:val="32"/>
        </w:rPr>
        <w:t>工程、集体采购项目交易服务收费标准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明确仅对参与交易的社会企业、中标经营主体收取合规服务费，</w:t>
      </w:r>
      <w:r>
        <w:rPr>
          <w:rFonts w:hint="eastAsia" w:ascii="仿宋_GB2312" w:hAnsi="仿宋_GB2312" w:eastAsia="仿宋_GB2312" w:cs="仿宋_GB2312"/>
          <w:color w:val="auto"/>
          <w:sz w:val="32"/>
          <w:szCs w:val="32"/>
          <w:lang w:val="en-US" w:eastAsia="zh-CN"/>
        </w:rPr>
        <w:t>增强</w:t>
      </w:r>
      <w:r>
        <w:rPr>
          <w:rFonts w:hint="eastAsia" w:ascii="仿宋_GB2312" w:hAnsi="仿宋_GB2312" w:eastAsia="仿宋_GB2312" w:cs="仿宋_GB2312"/>
          <w:color w:val="auto"/>
          <w:sz w:val="32"/>
          <w:szCs w:val="32"/>
        </w:rPr>
        <w:t>村集体</w:t>
      </w:r>
      <w:r>
        <w:rPr>
          <w:rFonts w:hint="eastAsia" w:ascii="仿宋_GB2312" w:hAnsi="仿宋_GB2312" w:eastAsia="仿宋_GB2312" w:cs="仿宋_GB2312"/>
          <w:color w:val="auto"/>
          <w:sz w:val="32"/>
          <w:szCs w:val="32"/>
          <w:lang w:val="en-US" w:eastAsia="zh-CN"/>
        </w:rPr>
        <w:t>进场交易积极性。</w:t>
      </w:r>
      <w:r>
        <w:rPr>
          <w:rFonts w:hint="eastAsia" w:ascii="仿宋_GB2312" w:hAnsi="仿宋_GB2312" w:eastAsia="仿宋_GB2312" w:cs="仿宋_GB2312"/>
          <w:color w:val="auto"/>
          <w:sz w:val="32"/>
          <w:szCs w:val="32"/>
        </w:rPr>
        <w:t>针对小额、零散资产制定简易竞价流程，压缩交易办理周期，提升交易质效。针对偏远、零散、难流转的集体资源，</w:t>
      </w:r>
      <w:r>
        <w:rPr>
          <w:rFonts w:hint="eastAsia" w:ascii="仿宋_GB2312" w:hAnsi="仿宋_GB2312" w:eastAsia="仿宋_GB2312" w:cs="仿宋_GB2312"/>
          <w:color w:val="auto"/>
          <w:sz w:val="32"/>
          <w:szCs w:val="32"/>
          <w:lang w:val="en-US" w:eastAsia="zh-CN"/>
        </w:rPr>
        <w:t>探索</w:t>
      </w:r>
      <w:r>
        <w:rPr>
          <w:rFonts w:hint="eastAsia" w:ascii="仿宋_GB2312" w:hAnsi="仿宋_GB2312" w:eastAsia="仿宋_GB2312" w:cs="仿宋_GB2312"/>
          <w:color w:val="auto"/>
          <w:sz w:val="32"/>
          <w:szCs w:val="32"/>
        </w:rPr>
        <w:t>资源打包挂牌、国企托管运营、集中连片流转等盘活模式。</w:t>
      </w:r>
      <w:r>
        <w:rPr>
          <w:rFonts w:hint="eastAsia" w:ascii="楷体_GB2312" w:hAnsi="楷体_GB2312" w:eastAsia="楷体_GB2312" w:cs="楷体_GB2312"/>
          <w:color w:val="auto"/>
          <w:spacing w:val="0"/>
          <w:kern w:val="2"/>
          <w:sz w:val="32"/>
          <w:szCs w:val="32"/>
          <w:highlight w:val="none"/>
          <w:u w:val="none"/>
          <w:lang w:val="en-US" w:eastAsia="zh-CN"/>
        </w:rPr>
        <w:t>（</w:t>
      </w:r>
      <w:r>
        <w:rPr>
          <w:rFonts w:hint="eastAsia" w:ascii="楷体_GB2312" w:hAnsi="楷体_GB2312" w:eastAsia="楷体_GB2312" w:cs="楷体_GB2312"/>
          <w:color w:val="auto"/>
          <w:spacing w:val="0"/>
          <w:sz w:val="32"/>
          <w:szCs w:val="32"/>
          <w:highlight w:val="none"/>
          <w:u w:val="none"/>
          <w:lang w:val="en-US" w:eastAsia="zh-CN"/>
        </w:rPr>
        <w:t>责</w:t>
      </w:r>
      <w:r>
        <w:rPr>
          <w:rFonts w:hint="eastAsia" w:ascii="楷体_GB2312" w:hAnsi="楷体_GB2312" w:eastAsia="楷体_GB2312" w:cs="楷体_GB2312"/>
          <w:color w:val="auto"/>
          <w:spacing w:val="0"/>
          <w:sz w:val="32"/>
          <w:szCs w:val="32"/>
          <w:u w:val="none"/>
          <w:lang w:val="en-US" w:eastAsia="zh-CN"/>
        </w:rPr>
        <w:t>任单位：市投资集团</w:t>
      </w:r>
      <w:r>
        <w:rPr>
          <w:rFonts w:hint="eastAsia" w:ascii="楷体_GB2312" w:hAnsi="楷体_GB2312" w:eastAsia="楷体_GB2312" w:cs="楷体_GB2312"/>
          <w:color w:val="auto"/>
          <w:spacing w:val="0"/>
          <w:sz w:val="32"/>
          <w:szCs w:val="32"/>
          <w:highlight w:val="none"/>
          <w:u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楷体_GB2312" w:hAnsi="楷体_GB2312" w:eastAsia="楷体_GB2312" w:cs="楷体_GB2312"/>
          <w:color w:val="auto"/>
          <w:spacing w:val="0"/>
          <w:sz w:val="32"/>
          <w:szCs w:val="32"/>
          <w:highlight w:val="none"/>
          <w:u w:val="none"/>
          <w:lang w:val="en-US" w:eastAsia="zh-CN"/>
        </w:rPr>
      </w:pPr>
      <w:r>
        <w:rPr>
          <w:rFonts w:hint="eastAsia" w:ascii="仿宋_GB2312" w:hAnsi="仿宋_GB2312" w:eastAsia="仿宋_GB2312" w:cs="仿宋_GB2312"/>
          <w:b/>
          <w:bCs/>
          <w:color w:val="auto"/>
          <w:sz w:val="32"/>
          <w:szCs w:val="32"/>
          <w:lang w:val="en-US" w:eastAsia="zh-CN"/>
        </w:rPr>
        <w:t>7.开展培训宣传。</w:t>
      </w:r>
      <w:r>
        <w:rPr>
          <w:rFonts w:hint="eastAsia" w:ascii="仿宋_GB2312" w:hAnsi="仿宋_GB2312" w:eastAsia="仿宋_GB2312" w:cs="仿宋_GB2312"/>
          <w:color w:val="auto"/>
          <w:sz w:val="32"/>
          <w:szCs w:val="32"/>
        </w:rPr>
        <w:t>构建常态化、分层化、全覆盖的培训体系，</w:t>
      </w:r>
      <w:r>
        <w:rPr>
          <w:rFonts w:hint="eastAsia" w:ascii="仿宋_GB2312" w:hAnsi="仿宋_GB2312" w:eastAsia="仿宋_GB2312" w:cs="仿宋_GB2312"/>
          <w:color w:val="auto"/>
          <w:sz w:val="32"/>
          <w:szCs w:val="32"/>
          <w:lang w:val="en-US" w:eastAsia="zh-CN"/>
        </w:rPr>
        <w:t>对</w:t>
      </w:r>
      <w:r>
        <w:rPr>
          <w:rFonts w:hint="eastAsia" w:ascii="仿宋_GB2312" w:hAnsi="仿宋_GB2312" w:eastAsia="仿宋_GB2312" w:cs="仿宋_GB2312"/>
          <w:color w:val="auto"/>
          <w:sz w:val="32"/>
          <w:szCs w:val="32"/>
        </w:rPr>
        <w:t>乡镇</w:t>
      </w:r>
      <w:r>
        <w:rPr>
          <w:rFonts w:hint="eastAsia" w:ascii="仿宋_GB2312" w:hAnsi="仿宋_GB2312" w:eastAsia="仿宋_GB2312" w:cs="仿宋_GB2312"/>
          <w:color w:val="auto"/>
          <w:sz w:val="32"/>
          <w:szCs w:val="32"/>
          <w:lang w:val="en-US" w:eastAsia="zh-CN"/>
        </w:rPr>
        <w:t>农经</w:t>
      </w:r>
      <w:r>
        <w:rPr>
          <w:rFonts w:hint="eastAsia" w:ascii="仿宋_GB2312" w:hAnsi="仿宋_GB2312" w:eastAsia="仿宋_GB2312" w:cs="仿宋_GB2312"/>
          <w:color w:val="auto"/>
          <w:sz w:val="32"/>
          <w:szCs w:val="32"/>
        </w:rPr>
        <w:t>人员、村“两委”</w:t>
      </w:r>
      <w:r>
        <w:rPr>
          <w:rFonts w:hint="eastAsia" w:ascii="仿宋_GB2312" w:hAnsi="仿宋_GB2312" w:eastAsia="仿宋_GB2312" w:cs="仿宋_GB2312"/>
          <w:color w:val="auto"/>
          <w:sz w:val="32"/>
          <w:szCs w:val="32"/>
          <w:lang w:val="en-US" w:eastAsia="zh-CN"/>
        </w:rPr>
        <w:t>干部</w:t>
      </w:r>
      <w:r>
        <w:rPr>
          <w:rFonts w:hint="eastAsia" w:ascii="仿宋_GB2312" w:hAnsi="仿宋_GB2312" w:eastAsia="仿宋_GB2312" w:cs="仿宋_GB2312"/>
          <w:color w:val="auto"/>
          <w:sz w:val="32"/>
          <w:szCs w:val="32"/>
        </w:rPr>
        <w:t>等</w:t>
      </w:r>
      <w:r>
        <w:rPr>
          <w:rFonts w:hint="eastAsia" w:ascii="仿宋_GB2312" w:hAnsi="仿宋_GB2312" w:eastAsia="仿宋_GB2312" w:cs="仿宋_GB2312"/>
          <w:color w:val="auto"/>
          <w:sz w:val="32"/>
          <w:szCs w:val="32"/>
          <w:lang w:val="en-US" w:eastAsia="zh-CN"/>
        </w:rPr>
        <w:t>有针对性开展政策解读、</w:t>
      </w:r>
      <w:r>
        <w:rPr>
          <w:rFonts w:hint="eastAsia" w:ascii="仿宋_GB2312" w:hAnsi="仿宋_GB2312" w:eastAsia="仿宋_GB2312" w:cs="仿宋_GB2312"/>
          <w:color w:val="auto"/>
          <w:sz w:val="32"/>
          <w:szCs w:val="32"/>
        </w:rPr>
        <w:t>业务流程培训，确保每乡、每村至少</w:t>
      </w:r>
      <w:r>
        <w:rPr>
          <w:rFonts w:hint="eastAsia" w:ascii="仿宋_GB2312" w:hAnsi="仿宋_GB2312" w:eastAsia="仿宋_GB2312" w:cs="仿宋_GB2312"/>
          <w:color w:val="auto"/>
          <w:sz w:val="32"/>
          <w:szCs w:val="32"/>
          <w:lang w:val="en-US" w:eastAsia="zh-CN"/>
        </w:rPr>
        <w:t>各有</w:t>
      </w:r>
      <w:r>
        <w:rPr>
          <w:rFonts w:hint="eastAsia" w:ascii="仿宋_GB2312" w:hAnsi="仿宋_GB2312" w:eastAsia="仿宋_GB2312" w:cs="仿宋_GB2312"/>
          <w:color w:val="auto"/>
          <w:sz w:val="32"/>
          <w:szCs w:val="32"/>
        </w:rPr>
        <w:t>1名业务“明白人”。</w:t>
      </w:r>
      <w:r>
        <w:rPr>
          <w:rFonts w:hint="eastAsia" w:ascii="仿宋_GB2312" w:hAnsi="仿宋_GB2312" w:eastAsia="仿宋_GB2312" w:cs="仿宋_GB2312"/>
          <w:color w:val="auto"/>
          <w:sz w:val="32"/>
          <w:szCs w:val="32"/>
          <w:lang w:val="en-US" w:eastAsia="zh-CN"/>
        </w:rPr>
        <w:t>积极选树村集体产权进场交易成功案例，宣传保值增收、规范透明、防范风险的实效，以点带面引导村集体主动进场。</w:t>
      </w:r>
      <w:r>
        <w:rPr>
          <w:rFonts w:hint="eastAsia" w:ascii="楷体_GB2312" w:hAnsi="楷体_GB2312" w:eastAsia="楷体_GB2312" w:cs="楷体_GB2312"/>
          <w:color w:val="auto"/>
          <w:spacing w:val="0"/>
          <w:kern w:val="2"/>
          <w:sz w:val="32"/>
          <w:szCs w:val="32"/>
          <w:highlight w:val="none"/>
          <w:u w:val="none"/>
          <w:lang w:val="en-US" w:eastAsia="zh-CN"/>
        </w:rPr>
        <w:t>（</w:t>
      </w:r>
      <w:r>
        <w:rPr>
          <w:rFonts w:hint="eastAsia" w:ascii="楷体_GB2312" w:hAnsi="楷体_GB2312" w:eastAsia="楷体_GB2312" w:cs="楷体_GB2312"/>
          <w:color w:val="auto"/>
          <w:spacing w:val="0"/>
          <w:sz w:val="32"/>
          <w:szCs w:val="32"/>
          <w:highlight w:val="none"/>
          <w:u w:val="none"/>
          <w:lang w:val="en-US" w:eastAsia="zh-CN"/>
        </w:rPr>
        <w:t>责</w:t>
      </w:r>
      <w:r>
        <w:rPr>
          <w:rFonts w:hint="eastAsia" w:ascii="楷体_GB2312" w:hAnsi="楷体_GB2312" w:eastAsia="楷体_GB2312" w:cs="楷体_GB2312"/>
          <w:color w:val="auto"/>
          <w:spacing w:val="0"/>
          <w:sz w:val="32"/>
          <w:szCs w:val="32"/>
          <w:u w:val="none"/>
          <w:lang w:val="en-US" w:eastAsia="zh-CN"/>
        </w:rPr>
        <w:t>任单位：市投资集团，市、县农业农村局</w:t>
      </w:r>
      <w:r>
        <w:rPr>
          <w:rFonts w:hint="eastAsia" w:ascii="楷体_GB2312" w:hAnsi="楷体_GB2312" w:eastAsia="楷体_GB2312" w:cs="楷体_GB2312"/>
          <w:color w:val="auto"/>
          <w:spacing w:val="0"/>
          <w:sz w:val="32"/>
          <w:szCs w:val="32"/>
          <w:highlight w:val="none"/>
          <w:u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三、保障措施</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lang w:val="en-US" w:eastAsia="zh-CN"/>
        </w:rPr>
        <w:t>（一）加强组织领导。</w:t>
      </w:r>
      <w:r>
        <w:rPr>
          <w:rFonts w:hint="eastAsia" w:ascii="仿宋_GB2312" w:hAnsi="仿宋_GB2312" w:eastAsia="仿宋_GB2312" w:cs="仿宋_GB2312"/>
          <w:color w:val="auto"/>
          <w:sz w:val="32"/>
          <w:szCs w:val="32"/>
        </w:rPr>
        <w:t>各县（市、区）、各有关部门要切实提高思想认识，树立全市“一盘棋”思想，形成上下联动、部门协同、齐抓共管的工作格局。</w:t>
      </w:r>
      <w:r>
        <w:rPr>
          <w:rFonts w:hint="eastAsia" w:ascii="仿宋_GB2312" w:hAnsi="仿宋_GB2312" w:eastAsia="仿宋_GB2312" w:cs="仿宋_GB2312"/>
          <w:color w:val="auto"/>
          <w:sz w:val="32"/>
          <w:szCs w:val="32"/>
          <w:lang w:val="en-US" w:eastAsia="zh-CN"/>
        </w:rPr>
        <w:t>要切实加强对农村产权流转交易的组织推动和监督管理，</w:t>
      </w:r>
      <w:r>
        <w:rPr>
          <w:rFonts w:hint="eastAsia" w:ascii="仿宋_GB2312" w:hAnsi="仿宋_GB2312" w:eastAsia="仿宋_GB2312" w:cs="仿宋_GB2312"/>
          <w:color w:val="auto"/>
          <w:sz w:val="32"/>
          <w:szCs w:val="32"/>
        </w:rPr>
        <w:t>将农村产权流转交易规范化建设作为全面深化农村改革、推进乡村</w:t>
      </w:r>
      <w:r>
        <w:rPr>
          <w:rFonts w:hint="eastAsia" w:ascii="仿宋_GB2312" w:hAnsi="仿宋_GB2312" w:eastAsia="仿宋_GB2312" w:cs="仿宋_GB2312"/>
          <w:color w:val="auto"/>
          <w:sz w:val="32"/>
          <w:szCs w:val="32"/>
          <w:lang w:val="en-US" w:eastAsia="zh-CN"/>
        </w:rPr>
        <w:t>全面</w:t>
      </w:r>
      <w:r>
        <w:rPr>
          <w:rFonts w:hint="eastAsia" w:ascii="仿宋_GB2312" w:hAnsi="仿宋_GB2312" w:eastAsia="仿宋_GB2312" w:cs="仿宋_GB2312"/>
          <w:color w:val="auto"/>
          <w:sz w:val="32"/>
          <w:szCs w:val="32"/>
        </w:rPr>
        <w:t>振兴的重要抓手。</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（二）推动问题整治。</w:t>
      </w:r>
      <w:r>
        <w:rPr>
          <w:rFonts w:hint="default" w:ascii="Times New Roman" w:hAnsi="Times New Roman" w:eastAsia="仿宋_GB2312" w:cs="Times New Roman"/>
          <w:color w:val="auto"/>
          <w:sz w:val="32"/>
          <w:szCs w:val="32"/>
        </w:rPr>
        <w:t>持续深化</w:t>
      </w:r>
      <w:r>
        <w:rPr>
          <w:rFonts w:hint="eastAsia" w:ascii="Times New Roman" w:hAnsi="Times New Roman" w:eastAsia="仿宋_GB2312" w:cs="Times New Roman"/>
          <w:color w:val="auto"/>
          <w:sz w:val="32"/>
          <w:szCs w:val="32"/>
          <w:lang w:val="en-US" w:eastAsia="zh-CN"/>
        </w:rPr>
        <w:t>农</w:t>
      </w:r>
      <w:r>
        <w:rPr>
          <w:rFonts w:hint="default" w:ascii="Times New Roman" w:hAnsi="Times New Roman" w:eastAsia="仿宋_GB2312" w:cs="Times New Roman"/>
          <w:color w:val="auto"/>
          <w:sz w:val="32"/>
          <w:szCs w:val="32"/>
        </w:rPr>
        <w:t>村集体“三资”</w:t>
      </w:r>
      <w:r>
        <w:rPr>
          <w:rFonts w:hint="eastAsia" w:ascii="Times New Roman" w:hAnsi="Times New Roman" w:eastAsia="仿宋_GB2312" w:cs="Times New Roman"/>
          <w:color w:val="auto"/>
          <w:sz w:val="32"/>
          <w:szCs w:val="32"/>
          <w:lang w:val="en-US" w:eastAsia="zh-CN"/>
        </w:rPr>
        <w:t>管理</w:t>
      </w:r>
      <w:r>
        <w:rPr>
          <w:rFonts w:hint="default" w:ascii="Times New Roman" w:hAnsi="Times New Roman" w:eastAsia="仿宋_GB2312" w:cs="Times New Roman"/>
          <w:color w:val="auto"/>
          <w:sz w:val="32"/>
          <w:szCs w:val="32"/>
        </w:rPr>
        <w:t>突出问题整治，紧盯低价发包、长期垄断、权力干预、私下交易等突出问题，</w:t>
      </w:r>
      <w:r>
        <w:rPr>
          <w:rFonts w:hint="eastAsia" w:ascii="Times New Roman" w:hAnsi="Times New Roman" w:eastAsia="仿宋_GB2312" w:cs="Times New Roman"/>
          <w:color w:val="auto"/>
          <w:sz w:val="32"/>
          <w:szCs w:val="32"/>
          <w:lang w:val="en-US" w:eastAsia="zh-CN"/>
        </w:rPr>
        <w:t>深挖</w:t>
      </w:r>
      <w:r>
        <w:rPr>
          <w:rFonts w:hint="default" w:ascii="Times New Roman" w:hAnsi="Times New Roman" w:eastAsia="仿宋_GB2312" w:cs="Times New Roman"/>
          <w:color w:val="auto"/>
          <w:sz w:val="32"/>
          <w:szCs w:val="32"/>
        </w:rPr>
        <w:t>规避进场交易、围标串标、优亲厚友、侵占集体资产、造成资产流失等</w:t>
      </w:r>
      <w:r>
        <w:rPr>
          <w:rFonts w:hint="eastAsia" w:ascii="Times New Roman" w:hAnsi="Times New Roman" w:eastAsia="仿宋_GB2312" w:cs="Times New Roman"/>
          <w:color w:val="auto"/>
          <w:sz w:val="32"/>
          <w:szCs w:val="32"/>
          <w:lang w:val="en-US" w:eastAsia="zh-CN"/>
        </w:rPr>
        <w:t>问题，</w:t>
      </w:r>
      <w:r>
        <w:rPr>
          <w:rFonts w:hint="default" w:ascii="Times New Roman" w:hAnsi="Times New Roman" w:eastAsia="仿宋_GB2312" w:cs="Times New Roman"/>
          <w:color w:val="auto"/>
          <w:sz w:val="32"/>
          <w:szCs w:val="32"/>
        </w:rPr>
        <w:t>靶向健全完善管理制度、补齐监管漏洞、规范工作流程。</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lang w:val="en-US" w:eastAsia="zh-CN"/>
        </w:rPr>
        <w:t>（三）加强宣传引导。</w:t>
      </w:r>
      <w:r>
        <w:rPr>
          <w:rFonts w:hint="eastAsia" w:ascii="仿宋_GB2312" w:hAnsi="仿宋_GB2312" w:eastAsia="仿宋_GB2312" w:cs="仿宋_GB2312"/>
          <w:color w:val="auto"/>
          <w:sz w:val="32"/>
          <w:szCs w:val="32"/>
        </w:rPr>
        <w:t>充分利用电视、报纸、新媒体矩阵以及村级大喇叭、宣传栏等多种渠道，广泛宣传农村产权交易相关政策和盘活资产资源的典型案例。主动回应群众关切，不断提升广大基层干部群众的政策知晓率和参与度，营造规范透明、高效便民的良好氛围。</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bookmarkStart w:id="0" w:name="_GoBack"/>
      <w:bookmarkEnd w:id="0"/>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default"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三明市农村产权流转交易未进场交易项目汇总表</w:t>
      </w:r>
    </w:p>
    <w:tbl>
      <w:tblPr>
        <w:tblStyle w:val="6"/>
        <w:tblW w:w="545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6"/>
        <w:gridCol w:w="822"/>
        <w:gridCol w:w="1056"/>
        <w:gridCol w:w="777"/>
        <w:gridCol w:w="1023"/>
        <w:gridCol w:w="839"/>
        <w:gridCol w:w="815"/>
        <w:gridCol w:w="980"/>
        <w:gridCol w:w="1287"/>
        <w:gridCol w:w="11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272" w:type="pct"/>
            <w:vMerge w:val="restart"/>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序号</w:t>
            </w:r>
          </w:p>
        </w:tc>
        <w:tc>
          <w:tcPr>
            <w:tcW w:w="442" w:type="pct"/>
            <w:vMerge w:val="restart"/>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*县*乡镇（街道）</w:t>
            </w:r>
          </w:p>
        </w:tc>
        <w:tc>
          <w:tcPr>
            <w:tcW w:w="568" w:type="pct"/>
            <w:vMerge w:val="restart"/>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出让方（村集体）</w:t>
            </w:r>
          </w:p>
        </w:tc>
        <w:tc>
          <w:tcPr>
            <w:tcW w:w="418" w:type="pct"/>
            <w:vMerge w:val="restart"/>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项目名称</w:t>
            </w:r>
          </w:p>
        </w:tc>
        <w:tc>
          <w:tcPr>
            <w:tcW w:w="550" w:type="pct"/>
            <w:vMerge w:val="restar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出租/发包面积</w:t>
            </w:r>
          </w:p>
        </w:tc>
        <w:tc>
          <w:tcPr>
            <w:tcW w:w="1416" w:type="pct"/>
            <w:gridSpan w:val="3"/>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合同时间（年月日）</w:t>
            </w:r>
          </w:p>
        </w:tc>
        <w:tc>
          <w:tcPr>
            <w:tcW w:w="692" w:type="pct"/>
            <w:vMerge w:val="restart"/>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受让方/承建方</w:t>
            </w:r>
          </w:p>
        </w:tc>
        <w:tc>
          <w:tcPr>
            <w:tcW w:w="638" w:type="pct"/>
            <w:vMerge w:val="restart"/>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成交总金额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trPr>
        <w:tc>
          <w:tcPr>
            <w:tcW w:w="272" w:type="pct"/>
            <w:vMerge w:val="continue"/>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仿宋_GB2312" w:hAnsi="仿宋_GB2312" w:eastAsia="仿宋_GB2312" w:cs="仿宋_GB2312"/>
                <w:color w:val="auto"/>
                <w:sz w:val="28"/>
                <w:szCs w:val="28"/>
                <w:vertAlign w:val="baseline"/>
              </w:rPr>
            </w:pPr>
          </w:p>
        </w:tc>
        <w:tc>
          <w:tcPr>
            <w:tcW w:w="442" w:type="pct"/>
            <w:vMerge w:val="continue"/>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仿宋_GB2312" w:hAnsi="仿宋_GB2312" w:eastAsia="仿宋_GB2312" w:cs="仿宋_GB2312"/>
                <w:color w:val="auto"/>
                <w:sz w:val="28"/>
                <w:szCs w:val="28"/>
                <w:vertAlign w:val="baseline"/>
                <w:lang w:val="en-US" w:eastAsia="zh-CN"/>
              </w:rPr>
            </w:pPr>
          </w:p>
        </w:tc>
        <w:tc>
          <w:tcPr>
            <w:tcW w:w="568" w:type="pct"/>
            <w:vMerge w:val="continue"/>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仿宋_GB2312" w:hAnsi="仿宋_GB2312" w:eastAsia="仿宋_GB2312" w:cs="仿宋_GB2312"/>
                <w:color w:val="auto"/>
                <w:sz w:val="28"/>
                <w:szCs w:val="28"/>
                <w:vertAlign w:val="baseline"/>
              </w:rPr>
            </w:pPr>
          </w:p>
        </w:tc>
        <w:tc>
          <w:tcPr>
            <w:tcW w:w="418" w:type="pct"/>
            <w:vMerge w:val="continue"/>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仿宋_GB2312" w:hAnsi="仿宋_GB2312" w:eastAsia="仿宋_GB2312" w:cs="仿宋_GB2312"/>
                <w:color w:val="auto"/>
                <w:sz w:val="28"/>
                <w:szCs w:val="28"/>
                <w:vertAlign w:val="baseline"/>
              </w:rPr>
            </w:pPr>
          </w:p>
        </w:tc>
        <w:tc>
          <w:tcPr>
            <w:tcW w:w="550" w:type="pct"/>
            <w:vMerge w:val="continue"/>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仿宋_GB2312" w:hAnsi="仿宋_GB2312" w:eastAsia="仿宋_GB2312" w:cs="仿宋_GB2312"/>
                <w:color w:val="auto"/>
                <w:sz w:val="28"/>
                <w:szCs w:val="28"/>
                <w:vertAlign w:val="baseline"/>
                <w:lang w:val="en-US" w:eastAsia="zh-CN"/>
              </w:rPr>
            </w:pPr>
          </w:p>
        </w:tc>
        <w:tc>
          <w:tcPr>
            <w:tcW w:w="451" w:type="pct"/>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仿宋_GB2312" w:hAnsi="仿宋_GB2312" w:eastAsia="仿宋_GB2312" w:cs="仿宋_GB2312"/>
                <w:color w:val="auto"/>
                <w:sz w:val="28"/>
                <w:szCs w:val="28"/>
                <w:vertAlign w:val="baseline"/>
              </w:rPr>
            </w:pPr>
            <w:r>
              <w:rPr>
                <w:rFonts w:hint="eastAsia" w:ascii="仿宋_GB2312" w:hAnsi="仿宋_GB2312" w:eastAsia="仿宋_GB2312" w:cs="仿宋_GB2312"/>
                <w:color w:val="auto"/>
                <w:sz w:val="28"/>
                <w:szCs w:val="28"/>
                <w:vertAlign w:val="baseline"/>
                <w:lang w:val="en-US" w:eastAsia="zh-CN"/>
              </w:rPr>
              <w:t>签订时间</w:t>
            </w:r>
          </w:p>
        </w:tc>
        <w:tc>
          <w:tcPr>
            <w:tcW w:w="438" w:type="pct"/>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仿宋_GB2312" w:hAnsi="仿宋_GB2312" w:eastAsia="仿宋_GB2312" w:cs="仿宋_GB2312"/>
                <w:color w:val="auto"/>
                <w:sz w:val="28"/>
                <w:szCs w:val="28"/>
                <w:vertAlign w:val="baseline"/>
              </w:rPr>
            </w:pPr>
            <w:r>
              <w:rPr>
                <w:rFonts w:hint="eastAsia" w:ascii="仿宋_GB2312" w:hAnsi="仿宋_GB2312" w:eastAsia="仿宋_GB2312" w:cs="仿宋_GB2312"/>
                <w:color w:val="auto"/>
                <w:sz w:val="28"/>
                <w:szCs w:val="28"/>
                <w:vertAlign w:val="baseline"/>
                <w:lang w:val="en-US" w:eastAsia="zh-CN"/>
              </w:rPr>
              <w:t>起始时间</w:t>
            </w:r>
          </w:p>
        </w:tc>
        <w:tc>
          <w:tcPr>
            <w:tcW w:w="527" w:type="pct"/>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仿宋_GB2312" w:hAnsi="仿宋_GB2312" w:eastAsia="仿宋_GB2312" w:cs="仿宋_GB2312"/>
                <w:color w:val="auto"/>
                <w:sz w:val="28"/>
                <w:szCs w:val="28"/>
                <w:vertAlign w:val="baseline"/>
              </w:rPr>
            </w:pPr>
            <w:r>
              <w:rPr>
                <w:rFonts w:hint="eastAsia" w:ascii="仿宋_GB2312" w:hAnsi="仿宋_GB2312" w:eastAsia="仿宋_GB2312" w:cs="仿宋_GB2312"/>
                <w:color w:val="auto"/>
                <w:sz w:val="28"/>
                <w:szCs w:val="28"/>
                <w:vertAlign w:val="baseline"/>
                <w:lang w:val="en-US" w:eastAsia="zh-CN"/>
              </w:rPr>
              <w:t>结束时间</w:t>
            </w:r>
          </w:p>
        </w:tc>
        <w:tc>
          <w:tcPr>
            <w:tcW w:w="692" w:type="pct"/>
            <w:vMerge w:val="continue"/>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仿宋_GB2312" w:hAnsi="仿宋_GB2312" w:eastAsia="仿宋_GB2312" w:cs="仿宋_GB2312"/>
                <w:color w:val="auto"/>
                <w:sz w:val="28"/>
                <w:szCs w:val="28"/>
                <w:vertAlign w:val="baseline"/>
              </w:rPr>
            </w:pPr>
          </w:p>
        </w:tc>
        <w:tc>
          <w:tcPr>
            <w:tcW w:w="638" w:type="pct"/>
            <w:vMerge w:val="continue"/>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仿宋_GB2312" w:hAnsi="仿宋_GB2312" w:eastAsia="仿宋_GB2312" w:cs="仿宋_GB2312"/>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272" w:type="pct"/>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仿宋_GB2312" w:hAnsi="仿宋_GB2312" w:eastAsia="仿宋_GB2312" w:cs="仿宋_GB2312"/>
                <w:color w:val="auto"/>
                <w:sz w:val="28"/>
                <w:szCs w:val="28"/>
                <w:vertAlign w:val="baseline"/>
              </w:rPr>
            </w:pPr>
          </w:p>
        </w:tc>
        <w:tc>
          <w:tcPr>
            <w:tcW w:w="442" w:type="pct"/>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仿宋_GB2312" w:hAnsi="仿宋_GB2312" w:eastAsia="仿宋_GB2312" w:cs="仿宋_GB2312"/>
                <w:color w:val="auto"/>
                <w:sz w:val="28"/>
                <w:szCs w:val="28"/>
                <w:vertAlign w:val="baseline"/>
              </w:rPr>
            </w:pPr>
          </w:p>
        </w:tc>
        <w:tc>
          <w:tcPr>
            <w:tcW w:w="568" w:type="pct"/>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仿宋_GB2312" w:hAnsi="仿宋_GB2312" w:eastAsia="仿宋_GB2312" w:cs="仿宋_GB2312"/>
                <w:color w:val="auto"/>
                <w:sz w:val="28"/>
                <w:szCs w:val="28"/>
                <w:vertAlign w:val="baseline"/>
              </w:rPr>
            </w:pPr>
          </w:p>
        </w:tc>
        <w:tc>
          <w:tcPr>
            <w:tcW w:w="418" w:type="pct"/>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仿宋_GB2312" w:hAnsi="仿宋_GB2312" w:eastAsia="仿宋_GB2312" w:cs="仿宋_GB2312"/>
                <w:color w:val="auto"/>
                <w:sz w:val="28"/>
                <w:szCs w:val="28"/>
                <w:vertAlign w:val="baseline"/>
              </w:rPr>
            </w:pPr>
          </w:p>
        </w:tc>
        <w:tc>
          <w:tcPr>
            <w:tcW w:w="550" w:type="pct"/>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仿宋_GB2312" w:hAnsi="仿宋_GB2312" w:eastAsia="仿宋_GB2312" w:cs="仿宋_GB2312"/>
                <w:color w:val="auto"/>
                <w:sz w:val="28"/>
                <w:szCs w:val="28"/>
                <w:vertAlign w:val="baseline"/>
              </w:rPr>
            </w:pPr>
          </w:p>
        </w:tc>
        <w:tc>
          <w:tcPr>
            <w:tcW w:w="451" w:type="pct"/>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仿宋_GB2312" w:hAnsi="仿宋_GB2312" w:eastAsia="仿宋_GB2312" w:cs="仿宋_GB2312"/>
                <w:color w:val="auto"/>
                <w:sz w:val="28"/>
                <w:szCs w:val="28"/>
                <w:vertAlign w:val="baseline"/>
              </w:rPr>
            </w:pPr>
          </w:p>
        </w:tc>
        <w:tc>
          <w:tcPr>
            <w:tcW w:w="438" w:type="pct"/>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仿宋_GB2312" w:hAnsi="仿宋_GB2312" w:eastAsia="仿宋_GB2312" w:cs="仿宋_GB2312"/>
                <w:color w:val="auto"/>
                <w:sz w:val="28"/>
                <w:szCs w:val="28"/>
                <w:vertAlign w:val="baseline"/>
              </w:rPr>
            </w:pPr>
          </w:p>
        </w:tc>
        <w:tc>
          <w:tcPr>
            <w:tcW w:w="527" w:type="pct"/>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仿宋_GB2312" w:hAnsi="仿宋_GB2312" w:eastAsia="仿宋_GB2312" w:cs="仿宋_GB2312"/>
                <w:color w:val="auto"/>
                <w:sz w:val="28"/>
                <w:szCs w:val="28"/>
                <w:vertAlign w:val="baseline"/>
              </w:rPr>
            </w:pPr>
          </w:p>
        </w:tc>
        <w:tc>
          <w:tcPr>
            <w:tcW w:w="692" w:type="pct"/>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仿宋_GB2312" w:hAnsi="仿宋_GB2312" w:eastAsia="仿宋_GB2312" w:cs="仿宋_GB2312"/>
                <w:color w:val="auto"/>
                <w:sz w:val="28"/>
                <w:szCs w:val="28"/>
                <w:vertAlign w:val="baseline"/>
              </w:rPr>
            </w:pPr>
          </w:p>
        </w:tc>
        <w:tc>
          <w:tcPr>
            <w:tcW w:w="638" w:type="pct"/>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仿宋_GB2312" w:hAnsi="仿宋_GB2312" w:eastAsia="仿宋_GB2312" w:cs="仿宋_GB2312"/>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272" w:type="pct"/>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仿宋_GB2312" w:hAnsi="仿宋_GB2312" w:eastAsia="仿宋_GB2312" w:cs="仿宋_GB2312"/>
                <w:color w:val="auto"/>
                <w:sz w:val="28"/>
                <w:szCs w:val="28"/>
                <w:vertAlign w:val="baseline"/>
              </w:rPr>
            </w:pPr>
          </w:p>
        </w:tc>
        <w:tc>
          <w:tcPr>
            <w:tcW w:w="442" w:type="pct"/>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仿宋_GB2312" w:hAnsi="仿宋_GB2312" w:eastAsia="仿宋_GB2312" w:cs="仿宋_GB2312"/>
                <w:color w:val="auto"/>
                <w:sz w:val="28"/>
                <w:szCs w:val="28"/>
                <w:vertAlign w:val="baseline"/>
              </w:rPr>
            </w:pPr>
          </w:p>
        </w:tc>
        <w:tc>
          <w:tcPr>
            <w:tcW w:w="568" w:type="pct"/>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仿宋_GB2312" w:hAnsi="仿宋_GB2312" w:eastAsia="仿宋_GB2312" w:cs="仿宋_GB2312"/>
                <w:color w:val="auto"/>
                <w:sz w:val="28"/>
                <w:szCs w:val="28"/>
                <w:vertAlign w:val="baseline"/>
              </w:rPr>
            </w:pPr>
          </w:p>
        </w:tc>
        <w:tc>
          <w:tcPr>
            <w:tcW w:w="418" w:type="pct"/>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仿宋_GB2312" w:hAnsi="仿宋_GB2312" w:eastAsia="仿宋_GB2312" w:cs="仿宋_GB2312"/>
                <w:color w:val="auto"/>
                <w:sz w:val="28"/>
                <w:szCs w:val="28"/>
                <w:vertAlign w:val="baseline"/>
              </w:rPr>
            </w:pPr>
          </w:p>
        </w:tc>
        <w:tc>
          <w:tcPr>
            <w:tcW w:w="550" w:type="pct"/>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仿宋_GB2312" w:hAnsi="仿宋_GB2312" w:eastAsia="仿宋_GB2312" w:cs="仿宋_GB2312"/>
                <w:color w:val="auto"/>
                <w:sz w:val="28"/>
                <w:szCs w:val="28"/>
                <w:vertAlign w:val="baseline"/>
              </w:rPr>
            </w:pPr>
          </w:p>
        </w:tc>
        <w:tc>
          <w:tcPr>
            <w:tcW w:w="451" w:type="pct"/>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仿宋_GB2312" w:hAnsi="仿宋_GB2312" w:eastAsia="仿宋_GB2312" w:cs="仿宋_GB2312"/>
                <w:color w:val="auto"/>
                <w:sz w:val="28"/>
                <w:szCs w:val="28"/>
                <w:vertAlign w:val="baseline"/>
              </w:rPr>
            </w:pPr>
          </w:p>
        </w:tc>
        <w:tc>
          <w:tcPr>
            <w:tcW w:w="438" w:type="pct"/>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仿宋_GB2312" w:hAnsi="仿宋_GB2312" w:eastAsia="仿宋_GB2312" w:cs="仿宋_GB2312"/>
                <w:color w:val="auto"/>
                <w:sz w:val="28"/>
                <w:szCs w:val="28"/>
                <w:vertAlign w:val="baseline"/>
              </w:rPr>
            </w:pPr>
          </w:p>
        </w:tc>
        <w:tc>
          <w:tcPr>
            <w:tcW w:w="527" w:type="pct"/>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仿宋_GB2312" w:hAnsi="仿宋_GB2312" w:eastAsia="仿宋_GB2312" w:cs="仿宋_GB2312"/>
                <w:color w:val="auto"/>
                <w:sz w:val="28"/>
                <w:szCs w:val="28"/>
                <w:vertAlign w:val="baseline"/>
              </w:rPr>
            </w:pPr>
          </w:p>
        </w:tc>
        <w:tc>
          <w:tcPr>
            <w:tcW w:w="692" w:type="pct"/>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仿宋_GB2312" w:hAnsi="仿宋_GB2312" w:eastAsia="仿宋_GB2312" w:cs="仿宋_GB2312"/>
                <w:color w:val="auto"/>
                <w:sz w:val="28"/>
                <w:szCs w:val="28"/>
                <w:vertAlign w:val="baseline"/>
              </w:rPr>
            </w:pPr>
          </w:p>
        </w:tc>
        <w:tc>
          <w:tcPr>
            <w:tcW w:w="638" w:type="pct"/>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仿宋_GB2312" w:hAnsi="仿宋_GB2312" w:eastAsia="仿宋_GB2312" w:cs="仿宋_GB2312"/>
                <w:color w:val="auto"/>
                <w:sz w:val="28"/>
                <w:szCs w:val="28"/>
                <w:vertAlign w:val="baseline"/>
              </w:rPr>
            </w:pPr>
          </w:p>
        </w:tc>
      </w:tr>
    </w:tbl>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firstLine="640" w:firstLineChars="200"/>
        <w:textAlignment w:val="auto"/>
        <w:rPr>
          <w:rFonts w:hint="eastAsia" w:ascii="仿宋_GB2312" w:hAnsi="仿宋_GB2312" w:eastAsia="仿宋_GB2312" w:cs="仿宋_GB2312"/>
          <w:color w:val="auto"/>
          <w:sz w:val="32"/>
          <w:szCs w:val="32"/>
          <w:lang w:val="en-US" w:eastAsia="zh-C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8917DC"/>
    <w:rsid w:val="00CE72AE"/>
    <w:rsid w:val="01414A0F"/>
    <w:rsid w:val="018E5C32"/>
    <w:rsid w:val="026003DA"/>
    <w:rsid w:val="03086AA8"/>
    <w:rsid w:val="03140A3C"/>
    <w:rsid w:val="056B6C57"/>
    <w:rsid w:val="06E7313C"/>
    <w:rsid w:val="082A5712"/>
    <w:rsid w:val="09271825"/>
    <w:rsid w:val="09C41CDB"/>
    <w:rsid w:val="0A342878"/>
    <w:rsid w:val="0A5D2B12"/>
    <w:rsid w:val="0B66044E"/>
    <w:rsid w:val="0BC773CD"/>
    <w:rsid w:val="0CCA3020"/>
    <w:rsid w:val="0D7D4536"/>
    <w:rsid w:val="0E9D4E90"/>
    <w:rsid w:val="0EA63619"/>
    <w:rsid w:val="0EAF4BC3"/>
    <w:rsid w:val="0F5B59E7"/>
    <w:rsid w:val="0F9067A2"/>
    <w:rsid w:val="10C304B2"/>
    <w:rsid w:val="11AF0EA1"/>
    <w:rsid w:val="13912931"/>
    <w:rsid w:val="14D26F15"/>
    <w:rsid w:val="16F615E1"/>
    <w:rsid w:val="17A50638"/>
    <w:rsid w:val="17AC7EF2"/>
    <w:rsid w:val="17B43822"/>
    <w:rsid w:val="17D905BB"/>
    <w:rsid w:val="17E551B2"/>
    <w:rsid w:val="17EE467F"/>
    <w:rsid w:val="18112A99"/>
    <w:rsid w:val="18561C0B"/>
    <w:rsid w:val="19AC242B"/>
    <w:rsid w:val="19F93196"/>
    <w:rsid w:val="1CCA672A"/>
    <w:rsid w:val="1CCD6D7D"/>
    <w:rsid w:val="1DCB4E4A"/>
    <w:rsid w:val="1EA66BF4"/>
    <w:rsid w:val="1F120F82"/>
    <w:rsid w:val="24585BAE"/>
    <w:rsid w:val="24A563F4"/>
    <w:rsid w:val="25C66622"/>
    <w:rsid w:val="27AC35F6"/>
    <w:rsid w:val="282E6701"/>
    <w:rsid w:val="289160F1"/>
    <w:rsid w:val="29E30F4F"/>
    <w:rsid w:val="2A276EB3"/>
    <w:rsid w:val="2A6B59EA"/>
    <w:rsid w:val="2A992557"/>
    <w:rsid w:val="2AFE685E"/>
    <w:rsid w:val="2C70332B"/>
    <w:rsid w:val="2D127E81"/>
    <w:rsid w:val="2D1C7470"/>
    <w:rsid w:val="2F550663"/>
    <w:rsid w:val="2F5A21BE"/>
    <w:rsid w:val="300C557A"/>
    <w:rsid w:val="32056724"/>
    <w:rsid w:val="3469366F"/>
    <w:rsid w:val="35E46651"/>
    <w:rsid w:val="364517E5"/>
    <w:rsid w:val="37507FF9"/>
    <w:rsid w:val="37AF33BA"/>
    <w:rsid w:val="383218F5"/>
    <w:rsid w:val="386A72E1"/>
    <w:rsid w:val="3A233BEC"/>
    <w:rsid w:val="3AE72E6B"/>
    <w:rsid w:val="3CCA034E"/>
    <w:rsid w:val="3D143CBF"/>
    <w:rsid w:val="3F4A39C9"/>
    <w:rsid w:val="402E57E1"/>
    <w:rsid w:val="40AD420F"/>
    <w:rsid w:val="413179A9"/>
    <w:rsid w:val="417F4430"/>
    <w:rsid w:val="467D56AE"/>
    <w:rsid w:val="48C61658"/>
    <w:rsid w:val="495F0B5E"/>
    <w:rsid w:val="4BE64A79"/>
    <w:rsid w:val="4C5F4669"/>
    <w:rsid w:val="4D291C67"/>
    <w:rsid w:val="4E0273EA"/>
    <w:rsid w:val="4F1A0776"/>
    <w:rsid w:val="50B36D95"/>
    <w:rsid w:val="50CF01D2"/>
    <w:rsid w:val="52F90EC9"/>
    <w:rsid w:val="53E75832"/>
    <w:rsid w:val="57324F77"/>
    <w:rsid w:val="5860449E"/>
    <w:rsid w:val="59D363DB"/>
    <w:rsid w:val="5A6E1B63"/>
    <w:rsid w:val="5A783688"/>
    <w:rsid w:val="5C1E65FE"/>
    <w:rsid w:val="5C4D007C"/>
    <w:rsid w:val="5C8917DC"/>
    <w:rsid w:val="5DA45A6F"/>
    <w:rsid w:val="5DE27796"/>
    <w:rsid w:val="5E532442"/>
    <w:rsid w:val="6025484D"/>
    <w:rsid w:val="62935F75"/>
    <w:rsid w:val="63D47B81"/>
    <w:rsid w:val="66CF4630"/>
    <w:rsid w:val="6A9C0CCD"/>
    <w:rsid w:val="6BD149A6"/>
    <w:rsid w:val="6C134FBF"/>
    <w:rsid w:val="6EAF2ABE"/>
    <w:rsid w:val="6F2145B3"/>
    <w:rsid w:val="6F806E0F"/>
    <w:rsid w:val="70606891"/>
    <w:rsid w:val="721C7F6D"/>
    <w:rsid w:val="73842D8A"/>
    <w:rsid w:val="74FD4A5E"/>
    <w:rsid w:val="750018DF"/>
    <w:rsid w:val="75D82A1B"/>
    <w:rsid w:val="765863F0"/>
    <w:rsid w:val="7871747F"/>
    <w:rsid w:val="7A811C8D"/>
    <w:rsid w:val="7BD44D1A"/>
    <w:rsid w:val="7C1F350C"/>
    <w:rsid w:val="7DB67EA0"/>
    <w:rsid w:val="7E9F0934"/>
    <w:rsid w:val="7FFD45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金山软件</Company>
  <Pages>6</Pages>
  <Words>2293</Words>
  <Characters>2302</Characters>
  <Lines>0</Lines>
  <Paragraphs>0</Paragraphs>
  <TotalTime>26</TotalTime>
  <ScaleCrop>false</ScaleCrop>
  <LinksUpToDate>false</LinksUpToDate>
  <CharactersWithSpaces>2302</CharactersWithSpaces>
  <Application>WPS Office_11.8.2.11978_F1E327BC-269C-435d-A152-05C5408002CA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2026-07-16T02:30:00Z</dcterms:created>
  <dc:creator>wps</dc:creator>
  <cp:lastModifiedBy>wps</cp:lastModifiedBy>
  <cp:lastPrinted>2026-07-28T03:23:00Z</cp:lastPrinted>
  <dcterms:modified xsi:type="dcterms:W3CDTF">2026-08-11T09:37:33Z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2052-11.8.2.11978</vt:lpwstr>
  </property>
  <property fmtid="{D5CDD505-2E9C-101B-9397-08002B2CF9AE}" pid="3" name="ICV">
    <vt:lpwstr>B989F69CC0DE4A1C8F356D2BB86543A0</vt:lpwstr>
  </property>
  <property fmtid="{D5CDD505-2E9C-101B-9397-08002B2CF9AE}" pid="4" name="KSOTemplateDocerSaveRecord">
    <vt:lpwstr>eyJoZGlkIjoiMmQ4OTM5NWNkOTA2Yjk1M2JjMDExZGJiNTQzZWQ0ZTUifQ==</vt:lpwstr>
  </property>
</Properties>
</file>