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405CB4">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三明市农业农村局关于《三明市农产品质量安全监管执法指导意见（征求意见稿）》公开征求意见的通知</w:t>
      </w:r>
    </w:p>
    <w:p w14:paraId="5EB1C1B2">
      <w:pPr>
        <w:keepNext w:val="0"/>
        <w:keepLines w:val="0"/>
        <w:pageBreakBefore w:val="0"/>
        <w:widowControl w:val="0"/>
        <w:kinsoku/>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rPr>
      </w:pPr>
    </w:p>
    <w:p w14:paraId="594A59F6">
      <w:pPr>
        <w:keepNext w:val="0"/>
        <w:keepLines w:val="0"/>
        <w:pageBreakBefore w:val="0"/>
        <w:widowControl w:val="0"/>
        <w:kinsoku/>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为</w:t>
      </w:r>
      <w:r>
        <w:rPr>
          <w:rFonts w:hint="eastAsia" w:ascii="仿宋_GB2312" w:hAnsi="仿宋_GB2312" w:eastAsia="仿宋_GB2312" w:cs="仿宋_GB2312"/>
          <w:color w:val="auto"/>
          <w:sz w:val="32"/>
          <w:szCs w:val="32"/>
          <w:lang w:eastAsia="zh-CN"/>
        </w:rPr>
        <w:t>进一步加强农产品质量安全监管执法工作，</w:t>
      </w:r>
      <w:r>
        <w:rPr>
          <w:rFonts w:hint="eastAsia" w:ascii="仿宋_GB2312" w:hAnsi="仿宋_GB2312" w:eastAsia="仿宋_GB2312" w:cs="仿宋_GB2312"/>
          <w:color w:val="auto"/>
          <w:sz w:val="32"/>
          <w:szCs w:val="32"/>
        </w:rPr>
        <w:t>规范</w:t>
      </w:r>
      <w:r>
        <w:rPr>
          <w:rFonts w:hint="eastAsia" w:ascii="仿宋_GB2312" w:hAnsi="仿宋_GB2312" w:eastAsia="仿宋_GB2312" w:cs="仿宋_GB2312"/>
          <w:color w:val="auto"/>
          <w:sz w:val="32"/>
          <w:szCs w:val="32"/>
          <w:lang w:eastAsia="zh-CN"/>
        </w:rPr>
        <w:t>农产品生产管理</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推动前端监管与末端执法程序合法</w:t>
      </w:r>
      <w:r>
        <w:rPr>
          <w:rFonts w:hint="eastAsia" w:ascii="仿宋_GB2312" w:hAnsi="仿宋_GB2312" w:eastAsia="仿宋_GB2312" w:cs="仿宋_GB2312"/>
          <w:color w:val="auto"/>
          <w:sz w:val="32"/>
          <w:szCs w:val="32"/>
        </w:rPr>
        <w:t>，根据《</w:t>
      </w:r>
      <w:r>
        <w:rPr>
          <w:rFonts w:hint="eastAsia" w:ascii="仿宋_GB2312" w:hAnsi="仿宋_GB2312" w:eastAsia="仿宋_GB2312" w:cs="仿宋_GB2312"/>
          <w:color w:val="auto"/>
          <w:sz w:val="32"/>
          <w:szCs w:val="32"/>
          <w:lang w:eastAsia="zh-CN"/>
        </w:rPr>
        <w:t>中华人</w:t>
      </w:r>
      <w:r>
        <w:rPr>
          <w:rFonts w:hint="eastAsia" w:ascii="仿宋_GB2312" w:hAnsi="仿宋_GB2312" w:eastAsia="仿宋_GB2312" w:cs="仿宋_GB2312"/>
          <w:color w:val="auto"/>
          <w:sz w:val="32"/>
          <w:szCs w:val="32"/>
          <w:lang w:val="en-US" w:eastAsia="zh-CN"/>
        </w:rPr>
        <w:t>民共和国</w:t>
      </w:r>
      <w:r>
        <w:rPr>
          <w:rFonts w:hint="eastAsia" w:ascii="仿宋_GB2312" w:hAnsi="仿宋_GB2312" w:eastAsia="仿宋_GB2312" w:cs="仿宋_GB2312"/>
          <w:color w:val="auto"/>
          <w:sz w:val="32"/>
          <w:szCs w:val="32"/>
          <w:lang w:eastAsia="zh-CN"/>
        </w:rPr>
        <w:t>农产品质量安全法</w:t>
      </w:r>
      <w:r>
        <w:rPr>
          <w:rFonts w:hint="eastAsia" w:ascii="仿宋_GB2312" w:hAnsi="仿宋_GB2312" w:eastAsia="仿宋_GB2312" w:cs="仿宋_GB2312"/>
          <w:color w:val="auto"/>
          <w:sz w:val="32"/>
          <w:szCs w:val="32"/>
        </w:rPr>
        <w:t>》《中华人民共和国</w:t>
      </w:r>
      <w:r>
        <w:rPr>
          <w:rFonts w:hint="eastAsia" w:ascii="仿宋_GB2312" w:hAnsi="仿宋_GB2312" w:eastAsia="仿宋_GB2312" w:cs="仿宋_GB2312"/>
          <w:color w:val="auto"/>
          <w:sz w:val="32"/>
          <w:szCs w:val="32"/>
          <w:lang w:eastAsia="zh-CN"/>
        </w:rPr>
        <w:t>行政处罚法</w:t>
      </w:r>
      <w:r>
        <w:rPr>
          <w:rFonts w:hint="eastAsia" w:ascii="仿宋_GB2312" w:hAnsi="仿宋_GB2312" w:eastAsia="仿宋_GB2312" w:cs="仿宋_GB2312"/>
          <w:color w:val="auto"/>
          <w:sz w:val="32"/>
          <w:szCs w:val="32"/>
          <w:u w:val="none"/>
        </w:rPr>
        <w:t>》等有关法律法规及</w:t>
      </w:r>
      <w:r>
        <w:rPr>
          <w:rFonts w:hint="eastAsia" w:ascii="仿宋_GB2312" w:hAnsi="仿宋_GB2312" w:eastAsia="仿宋_GB2312" w:cs="仿宋_GB2312"/>
          <w:color w:val="auto"/>
          <w:sz w:val="32"/>
          <w:szCs w:val="32"/>
        </w:rPr>
        <w:t>政策规定，</w:t>
      </w:r>
      <w:r>
        <w:rPr>
          <w:rFonts w:hint="eastAsia" w:ascii="仿宋_GB2312" w:hAnsi="仿宋_GB2312" w:eastAsia="仿宋_GB2312" w:cs="仿宋_GB2312"/>
          <w:color w:val="auto"/>
          <w:sz w:val="32"/>
          <w:szCs w:val="32"/>
          <w:lang w:eastAsia="zh-CN"/>
        </w:rPr>
        <w:t>结合我市实际，</w:t>
      </w:r>
      <w:r>
        <w:rPr>
          <w:rFonts w:hint="eastAsia" w:ascii="仿宋_GB2312" w:hAnsi="仿宋_GB2312" w:eastAsia="仿宋_GB2312" w:cs="仿宋_GB2312"/>
          <w:sz w:val="32"/>
          <w:szCs w:val="32"/>
        </w:rPr>
        <w:t>起草了</w:t>
      </w:r>
    </w:p>
    <w:p w14:paraId="779DF637">
      <w:pPr>
        <w:keepNext w:val="0"/>
        <w:keepLines w:val="0"/>
        <w:pageBreakBefore w:val="0"/>
        <w:widowControl w:val="0"/>
        <w:kinsoku/>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三明市农产品质量安全监管执法指导意见</w:t>
      </w:r>
      <w:r>
        <w:rPr>
          <w:rFonts w:hint="eastAsia" w:ascii="仿宋_GB2312" w:hAnsi="仿宋_GB2312" w:eastAsia="仿宋_GB2312" w:cs="仿宋_GB2312"/>
          <w:sz w:val="32"/>
          <w:szCs w:val="32"/>
          <w:lang w:eastAsia="zh-CN"/>
        </w:rPr>
        <w:t>（征求意见稿）》。</w:t>
      </w:r>
    </w:p>
    <w:p w14:paraId="197F5A0B">
      <w:pPr>
        <w:keepNext w:val="0"/>
        <w:keepLines w:val="0"/>
        <w:pageBreakBefore w:val="0"/>
        <w:widowControl w:val="0"/>
        <w:kinsoku/>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为广泛听取社会各界的意见和建议，提高实施方案的科学性和民主性，现将该征求意见稿全文予以公布，向社会公开征求意见。欢迎有关单位和各界人士积极建言献策。公众可以通过电话、信函或电子邮件方式向三明市农业农村局提出反馈意见。</w:t>
      </w:r>
    </w:p>
    <w:p w14:paraId="0AA7FD25">
      <w:pPr>
        <w:keepNext w:val="0"/>
        <w:keepLines w:val="0"/>
        <w:pageBreakBefore w:val="0"/>
        <w:widowControl w:val="0"/>
        <w:kinsoku/>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p>
    <w:p w14:paraId="3FCC750D">
      <w:pPr>
        <w:keepNext w:val="0"/>
        <w:keepLines w:val="0"/>
        <w:pageBreakBefore w:val="0"/>
        <w:widowControl w:val="0"/>
        <w:kinsoku/>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征求意见时间：2026年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日至</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日</w:t>
      </w:r>
    </w:p>
    <w:p w14:paraId="356725A2">
      <w:pPr>
        <w:keepNext w:val="0"/>
        <w:keepLines w:val="0"/>
        <w:pageBreakBefore w:val="0"/>
        <w:widowControl w:val="0"/>
        <w:kinsoku/>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联系电话：0598-</w:t>
      </w:r>
      <w:r>
        <w:rPr>
          <w:rFonts w:hint="eastAsia" w:ascii="仿宋_GB2312" w:hAnsi="仿宋_GB2312" w:eastAsia="仿宋_GB2312" w:cs="仿宋_GB2312"/>
          <w:sz w:val="32"/>
          <w:szCs w:val="32"/>
          <w:lang w:val="en-US" w:eastAsia="zh-CN"/>
        </w:rPr>
        <w:t>8223688</w:t>
      </w:r>
      <w:r>
        <w:rPr>
          <w:rFonts w:hint="eastAsia" w:ascii="仿宋_GB2312" w:hAnsi="仿宋_GB2312" w:eastAsia="仿宋_GB2312" w:cs="仿宋_GB2312"/>
          <w:sz w:val="32"/>
          <w:szCs w:val="32"/>
        </w:rPr>
        <w:t>　</w:t>
      </w:r>
    </w:p>
    <w:p w14:paraId="2240CCDC">
      <w:pPr>
        <w:keepNext w:val="0"/>
        <w:keepLines w:val="0"/>
        <w:pageBreakBefore w:val="0"/>
        <w:widowControl w:val="0"/>
        <w:kinsoku/>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电子邮箱：sm</w:t>
      </w:r>
      <w:r>
        <w:rPr>
          <w:rFonts w:hint="eastAsia" w:ascii="仿宋_GB2312" w:hAnsi="仿宋_GB2312" w:eastAsia="仿宋_GB2312" w:cs="仿宋_GB2312"/>
          <w:sz w:val="32"/>
          <w:szCs w:val="32"/>
          <w:lang w:val="en-US" w:eastAsia="zh-CN"/>
        </w:rPr>
        <w:t>szjk</w:t>
      </w:r>
      <w:r>
        <w:rPr>
          <w:rFonts w:hint="eastAsia" w:ascii="仿宋_GB2312" w:hAnsi="仿宋_GB2312" w:eastAsia="仿宋_GB2312" w:cs="仿宋_GB2312"/>
          <w:sz w:val="32"/>
          <w:szCs w:val="32"/>
        </w:rPr>
        <w:t>@163.com</w:t>
      </w:r>
    </w:p>
    <w:p w14:paraId="37F54027">
      <w:pPr>
        <w:keepNext w:val="0"/>
        <w:keepLines w:val="0"/>
        <w:pageBreakBefore w:val="0"/>
        <w:widowControl w:val="0"/>
        <w:kinsoku/>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联系人：</w:t>
      </w:r>
      <w:r>
        <w:rPr>
          <w:rFonts w:hint="eastAsia" w:ascii="仿宋_GB2312" w:hAnsi="仿宋_GB2312" w:eastAsia="仿宋_GB2312" w:cs="仿宋_GB2312"/>
          <w:sz w:val="32"/>
          <w:szCs w:val="32"/>
          <w:lang w:eastAsia="zh-CN"/>
        </w:rPr>
        <w:t>洪钦辰</w:t>
      </w:r>
    </w:p>
    <w:p w14:paraId="40D1381F">
      <w:pPr>
        <w:keepNext w:val="0"/>
        <w:keepLines w:val="0"/>
        <w:pageBreakBefore w:val="0"/>
        <w:widowControl w:val="0"/>
        <w:kinsoku/>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p>
    <w:p w14:paraId="50F36811">
      <w:pPr>
        <w:keepNext w:val="0"/>
        <w:keepLines w:val="0"/>
        <w:pageBreakBefore w:val="0"/>
        <w:widowControl w:val="0"/>
        <w:kinsoku/>
        <w:overflowPunct/>
        <w:topLinePunct w:val="0"/>
        <w:autoSpaceDE/>
        <w:autoSpaceDN/>
        <w:bidi w:val="0"/>
        <w:adjustRightInd/>
        <w:snapToGrid/>
        <w:spacing w:line="5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地址：福建省三明市三元区新市北路213号农业大厦</w:t>
      </w:r>
      <w:r>
        <w:rPr>
          <w:rFonts w:hint="eastAsia" w:ascii="仿宋_GB2312" w:hAnsi="仿宋_GB2312" w:eastAsia="仿宋_GB2312" w:cs="仿宋_GB2312"/>
          <w:sz w:val="32"/>
          <w:szCs w:val="32"/>
          <w:lang w:val="en-US" w:eastAsia="zh-CN"/>
        </w:rPr>
        <w:t>405</w:t>
      </w:r>
      <w:r>
        <w:rPr>
          <w:rFonts w:hint="eastAsia" w:ascii="仿宋_GB2312" w:hAnsi="仿宋_GB2312" w:eastAsia="仿宋_GB2312" w:cs="仿宋_GB2312"/>
          <w:sz w:val="32"/>
          <w:szCs w:val="32"/>
        </w:rPr>
        <w:t>室</w:t>
      </w:r>
    </w:p>
    <w:p w14:paraId="7502A192">
      <w:pPr>
        <w:keepNext w:val="0"/>
        <w:keepLines w:val="0"/>
        <w:pageBreakBefore w:val="0"/>
        <w:widowControl w:val="0"/>
        <w:kinsoku/>
        <w:overflowPunct/>
        <w:topLinePunct w:val="0"/>
        <w:autoSpaceDE/>
        <w:autoSpaceDN/>
        <w:bidi w:val="0"/>
        <w:adjustRightInd/>
        <w:snapToGrid/>
        <w:spacing w:line="500" w:lineRule="exact"/>
        <w:ind w:firstLine="640"/>
        <w:textAlignment w:val="auto"/>
        <w:rPr>
          <w:rFonts w:hint="eastAsia" w:ascii="仿宋_GB2312" w:hAnsi="仿宋_GB2312" w:eastAsia="仿宋_GB2312" w:cs="仿宋_GB2312"/>
          <w:sz w:val="32"/>
          <w:szCs w:val="32"/>
        </w:rPr>
      </w:pPr>
    </w:p>
    <w:p w14:paraId="73FD4C54">
      <w:pPr>
        <w:keepNext w:val="0"/>
        <w:keepLines w:val="0"/>
        <w:pageBreakBefore w:val="0"/>
        <w:widowControl w:val="0"/>
        <w:kinsoku/>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附件：三明市农产品质量安全监管执法指导意见</w:t>
      </w:r>
      <w:r>
        <w:rPr>
          <w:rFonts w:hint="eastAsia" w:ascii="仿宋_GB2312" w:hAnsi="仿宋_GB2312" w:eastAsia="仿宋_GB2312" w:cs="仿宋_GB2312"/>
          <w:sz w:val="32"/>
          <w:szCs w:val="32"/>
          <w:lang w:eastAsia="zh-CN"/>
        </w:rPr>
        <w:t>（征求意见稿）</w:t>
      </w:r>
    </w:p>
    <w:p w14:paraId="6921A70B">
      <w:pPr>
        <w:keepNext w:val="0"/>
        <w:keepLines w:val="0"/>
        <w:pageBreakBefore w:val="0"/>
        <w:widowControl w:val="0"/>
        <w:kinsoku/>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p>
    <w:p w14:paraId="675566BF">
      <w:pPr>
        <w:keepNext w:val="0"/>
        <w:keepLines w:val="0"/>
        <w:pageBreakBefore w:val="0"/>
        <w:widowControl w:val="0"/>
        <w:kinsoku/>
        <w:wordWrap w:val="0"/>
        <w:overflowPunct/>
        <w:topLinePunct w:val="0"/>
        <w:autoSpaceDE/>
        <w:autoSpaceDN/>
        <w:bidi w:val="0"/>
        <w:adjustRightInd/>
        <w:snapToGrid/>
        <w:spacing w:line="500" w:lineRule="exact"/>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三明市农业农村局</w:t>
      </w:r>
      <w:r>
        <w:rPr>
          <w:rFonts w:hint="eastAsia" w:ascii="仿宋_GB2312" w:hAnsi="仿宋_GB2312" w:eastAsia="仿宋_GB2312" w:cs="仿宋_GB2312"/>
          <w:sz w:val="32"/>
          <w:szCs w:val="32"/>
          <w:lang w:val="en-US" w:eastAsia="zh-CN"/>
        </w:rPr>
        <w:t xml:space="preserve">         </w:t>
      </w:r>
    </w:p>
    <w:p w14:paraId="1A5BAA59">
      <w:pPr>
        <w:keepNext w:val="0"/>
        <w:keepLines w:val="0"/>
        <w:pageBreakBefore w:val="0"/>
        <w:widowControl w:val="0"/>
        <w:kinsoku/>
        <w:wordWrap w:val="0"/>
        <w:overflowPunct/>
        <w:topLinePunct w:val="0"/>
        <w:autoSpaceDE/>
        <w:autoSpaceDN/>
        <w:bidi w:val="0"/>
        <w:adjustRightInd/>
        <w:snapToGrid/>
        <w:spacing w:line="500" w:lineRule="exact"/>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2026年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7</w:t>
      </w:r>
      <w:bookmarkStart w:id="0" w:name="_GoBack"/>
      <w:bookmarkEnd w:id="0"/>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14:paraId="3DA87F4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附件 </w:t>
      </w:r>
    </w:p>
    <w:p w14:paraId="2E644FE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黑体" w:hAnsi="黑体" w:eastAsia="黑体" w:cs="黑体"/>
          <w:sz w:val="32"/>
          <w:szCs w:val="32"/>
          <w:lang w:val="en-US" w:eastAsia="zh-CN"/>
        </w:rPr>
      </w:pPr>
    </w:p>
    <w:p w14:paraId="2F7F7DA0">
      <w:pPr>
        <w:keepNext w:val="0"/>
        <w:keepLines w:val="0"/>
        <w:pageBreakBefore w:val="0"/>
        <w:widowControl w:val="0"/>
        <w:kinsoku/>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b w:val="0"/>
          <w:bCs w:val="0"/>
          <w:color w:val="auto"/>
          <w:sz w:val="44"/>
          <w:szCs w:val="44"/>
          <w:lang w:eastAsia="zh-CN"/>
        </w:rPr>
        <w:t>三明市农产品质量安全监管执法指导意见（征求意见稿）</w:t>
      </w:r>
    </w:p>
    <w:p w14:paraId="56F125F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color w:val="auto"/>
          <w:lang w:eastAsia="zh-CN"/>
        </w:rPr>
      </w:pPr>
    </w:p>
    <w:p w14:paraId="461D9BC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p>
    <w:p w14:paraId="3D7AF07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w:t>
      </w:r>
      <w:r>
        <w:rPr>
          <w:rFonts w:hint="eastAsia" w:ascii="仿宋_GB2312" w:hAnsi="仿宋_GB2312" w:eastAsia="仿宋_GB2312" w:cs="仿宋_GB2312"/>
          <w:color w:val="auto"/>
          <w:sz w:val="32"/>
          <w:szCs w:val="32"/>
          <w:lang w:eastAsia="zh-CN"/>
        </w:rPr>
        <w:t>进一步加强农产品质量安全监管执法工作，</w:t>
      </w:r>
      <w:r>
        <w:rPr>
          <w:rFonts w:hint="eastAsia" w:ascii="仿宋_GB2312" w:hAnsi="仿宋_GB2312" w:eastAsia="仿宋_GB2312" w:cs="仿宋_GB2312"/>
          <w:color w:val="auto"/>
          <w:sz w:val="32"/>
          <w:szCs w:val="32"/>
        </w:rPr>
        <w:t>规范</w:t>
      </w:r>
      <w:r>
        <w:rPr>
          <w:rFonts w:hint="eastAsia" w:ascii="仿宋_GB2312" w:hAnsi="仿宋_GB2312" w:eastAsia="仿宋_GB2312" w:cs="仿宋_GB2312"/>
          <w:color w:val="auto"/>
          <w:sz w:val="32"/>
          <w:szCs w:val="32"/>
          <w:lang w:eastAsia="zh-CN"/>
        </w:rPr>
        <w:t>农产品生产管理</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推动前端监管与末端执法程序合法</w:t>
      </w:r>
      <w:r>
        <w:rPr>
          <w:rFonts w:hint="eastAsia" w:ascii="仿宋_GB2312" w:hAnsi="仿宋_GB2312" w:eastAsia="仿宋_GB2312" w:cs="仿宋_GB2312"/>
          <w:color w:val="auto"/>
          <w:sz w:val="32"/>
          <w:szCs w:val="32"/>
        </w:rPr>
        <w:t>，根据《</w:t>
      </w:r>
      <w:r>
        <w:rPr>
          <w:rFonts w:hint="eastAsia" w:ascii="仿宋_GB2312" w:hAnsi="仿宋_GB2312" w:eastAsia="仿宋_GB2312" w:cs="仿宋_GB2312"/>
          <w:color w:val="auto"/>
          <w:sz w:val="32"/>
          <w:szCs w:val="32"/>
          <w:lang w:eastAsia="zh-CN"/>
        </w:rPr>
        <w:t>中华人</w:t>
      </w:r>
      <w:r>
        <w:rPr>
          <w:rFonts w:hint="eastAsia" w:ascii="仿宋_GB2312" w:hAnsi="仿宋_GB2312" w:eastAsia="仿宋_GB2312" w:cs="仿宋_GB2312"/>
          <w:color w:val="auto"/>
          <w:sz w:val="32"/>
          <w:szCs w:val="32"/>
          <w:lang w:val="en-US" w:eastAsia="zh-CN"/>
        </w:rPr>
        <w:t>民共和国</w:t>
      </w:r>
      <w:r>
        <w:rPr>
          <w:rFonts w:hint="eastAsia" w:ascii="仿宋_GB2312" w:hAnsi="仿宋_GB2312" w:eastAsia="仿宋_GB2312" w:cs="仿宋_GB2312"/>
          <w:color w:val="auto"/>
          <w:sz w:val="32"/>
          <w:szCs w:val="32"/>
          <w:lang w:eastAsia="zh-CN"/>
        </w:rPr>
        <w:t>农产品质量安全法</w:t>
      </w:r>
      <w:r>
        <w:rPr>
          <w:rFonts w:hint="eastAsia" w:ascii="仿宋_GB2312" w:hAnsi="仿宋_GB2312" w:eastAsia="仿宋_GB2312" w:cs="仿宋_GB2312"/>
          <w:color w:val="auto"/>
          <w:sz w:val="32"/>
          <w:szCs w:val="32"/>
        </w:rPr>
        <w:t>》《中华人民共和国</w:t>
      </w:r>
      <w:r>
        <w:rPr>
          <w:rFonts w:hint="eastAsia" w:ascii="仿宋_GB2312" w:hAnsi="仿宋_GB2312" w:eastAsia="仿宋_GB2312" w:cs="仿宋_GB2312"/>
          <w:color w:val="auto"/>
          <w:sz w:val="32"/>
          <w:szCs w:val="32"/>
          <w:lang w:eastAsia="zh-CN"/>
        </w:rPr>
        <w:t>行政处罚法</w:t>
      </w:r>
      <w:r>
        <w:rPr>
          <w:rFonts w:hint="eastAsia" w:ascii="仿宋_GB2312" w:hAnsi="仿宋_GB2312" w:eastAsia="仿宋_GB2312" w:cs="仿宋_GB2312"/>
          <w:color w:val="auto"/>
          <w:sz w:val="32"/>
          <w:szCs w:val="32"/>
          <w:u w:val="none"/>
        </w:rPr>
        <w:t>》等有关法律法规及</w:t>
      </w:r>
      <w:r>
        <w:rPr>
          <w:rFonts w:hint="eastAsia" w:ascii="仿宋_GB2312" w:hAnsi="仿宋_GB2312" w:eastAsia="仿宋_GB2312" w:cs="仿宋_GB2312"/>
          <w:color w:val="auto"/>
          <w:sz w:val="32"/>
          <w:szCs w:val="32"/>
        </w:rPr>
        <w:t>政策规定，</w:t>
      </w:r>
      <w:r>
        <w:rPr>
          <w:rFonts w:hint="eastAsia" w:ascii="仿宋_GB2312" w:hAnsi="仿宋_GB2312" w:eastAsia="仿宋_GB2312" w:cs="仿宋_GB2312"/>
          <w:color w:val="auto"/>
          <w:sz w:val="32"/>
          <w:szCs w:val="32"/>
          <w:lang w:eastAsia="zh-CN"/>
        </w:rPr>
        <w:t>结合我市实际，</w:t>
      </w:r>
      <w:r>
        <w:rPr>
          <w:rFonts w:hint="eastAsia" w:ascii="仿宋_GB2312" w:hAnsi="仿宋_GB2312" w:eastAsia="仿宋_GB2312" w:cs="仿宋_GB2312"/>
          <w:color w:val="auto"/>
          <w:sz w:val="32"/>
          <w:szCs w:val="32"/>
        </w:rPr>
        <w:t>制定</w:t>
      </w:r>
      <w:r>
        <w:rPr>
          <w:rFonts w:hint="eastAsia" w:ascii="仿宋_GB2312" w:hAnsi="仿宋_GB2312" w:eastAsia="仿宋_GB2312" w:cs="仿宋_GB2312"/>
          <w:color w:val="auto"/>
          <w:sz w:val="32"/>
          <w:szCs w:val="32"/>
          <w:lang w:eastAsia="zh-CN"/>
        </w:rPr>
        <w:t>本</w:t>
      </w:r>
      <w:r>
        <w:rPr>
          <w:rFonts w:hint="eastAsia" w:ascii="仿宋_GB2312" w:hAnsi="仿宋_GB2312" w:eastAsia="仿宋_GB2312" w:cs="仿宋_GB2312"/>
          <w:color w:val="auto"/>
          <w:sz w:val="32"/>
          <w:szCs w:val="32"/>
        </w:rPr>
        <w:t>指导意见。</w:t>
      </w:r>
    </w:p>
    <w:p w14:paraId="51A2F4C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一</w:t>
      </w:r>
      <w:r>
        <w:rPr>
          <w:rFonts w:hint="eastAsia" w:ascii="黑体" w:hAnsi="黑体" w:eastAsia="黑体" w:cs="黑体"/>
          <w:color w:val="auto"/>
          <w:sz w:val="32"/>
          <w:szCs w:val="32"/>
        </w:rPr>
        <w:t>、</w:t>
      </w:r>
      <w:r>
        <w:rPr>
          <w:rFonts w:hint="eastAsia" w:ascii="黑体" w:hAnsi="黑体" w:eastAsia="黑体" w:cs="黑体"/>
          <w:color w:val="auto"/>
          <w:sz w:val="32"/>
          <w:szCs w:val="32"/>
          <w:lang w:eastAsia="zh-CN"/>
        </w:rPr>
        <w:t>总体目标</w:t>
      </w:r>
    </w:p>
    <w:p w14:paraId="0245133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以保障农产品质量安全为目标，坚持 “产”“管”</w:t>
      </w:r>
      <w:r>
        <w:rPr>
          <w:rFonts w:hint="eastAsia" w:ascii="仿宋_GB2312" w:hAnsi="仿宋_GB2312" w:eastAsia="仿宋_GB2312" w:cs="仿宋_GB2312"/>
          <w:color w:val="auto"/>
          <w:sz w:val="32"/>
          <w:szCs w:val="32"/>
          <w:lang w:eastAsia="zh-CN"/>
        </w:rPr>
        <w:t>并重</w:t>
      </w:r>
      <w:r>
        <w:rPr>
          <w:rFonts w:hint="eastAsia" w:ascii="仿宋_GB2312" w:hAnsi="仿宋_GB2312" w:eastAsia="仿宋_GB2312" w:cs="仿宋_GB2312"/>
          <w:color w:val="auto"/>
          <w:sz w:val="32"/>
          <w:szCs w:val="32"/>
        </w:rPr>
        <w:t>，健全农产品质量安全监管制度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完善农产品质量安全检验检测体系，提高农产品质量安全监管执法能力</w:t>
      </w:r>
      <w:r>
        <w:rPr>
          <w:rFonts w:hint="eastAsia" w:ascii="仿宋_GB2312" w:hAnsi="仿宋_GB2312" w:eastAsia="仿宋_GB2312" w:cs="仿宋_GB2312"/>
          <w:color w:val="auto"/>
          <w:sz w:val="32"/>
          <w:szCs w:val="32"/>
          <w:lang w:eastAsia="zh-CN"/>
        </w:rPr>
        <w:t>，推动治理能力水平得到有效加强，</w:t>
      </w:r>
      <w:r>
        <w:rPr>
          <w:rFonts w:hint="eastAsia" w:ascii="仿宋_GB2312" w:hAnsi="仿宋_GB2312" w:eastAsia="仿宋_GB2312" w:cs="仿宋_GB2312"/>
          <w:color w:val="auto"/>
          <w:sz w:val="32"/>
          <w:szCs w:val="32"/>
        </w:rPr>
        <w:t>违法犯罪行为得到基本遏制，</w:t>
      </w:r>
      <w:r>
        <w:rPr>
          <w:rFonts w:hint="eastAsia" w:ascii="仿宋_GB2312" w:hAnsi="仿宋_GB2312" w:eastAsia="仿宋_GB2312" w:cs="仿宋_GB2312"/>
          <w:color w:val="auto"/>
          <w:sz w:val="32"/>
          <w:szCs w:val="32"/>
          <w:lang w:eastAsia="zh-CN"/>
        </w:rPr>
        <w:t>辖区内农产品</w:t>
      </w:r>
      <w:r>
        <w:rPr>
          <w:rFonts w:hint="eastAsia" w:ascii="仿宋_GB2312" w:hAnsi="仿宋_GB2312" w:eastAsia="仿宋_GB2312" w:cs="仿宋_GB2312"/>
          <w:color w:val="auto"/>
          <w:sz w:val="32"/>
          <w:szCs w:val="32"/>
        </w:rPr>
        <w:t>生产经营者管理水平和诚信意识</w:t>
      </w:r>
      <w:r>
        <w:rPr>
          <w:rFonts w:hint="eastAsia" w:ascii="仿宋_GB2312" w:hAnsi="仿宋_GB2312" w:eastAsia="仿宋_GB2312" w:cs="仿宋_GB2312"/>
          <w:color w:val="auto"/>
          <w:sz w:val="32"/>
          <w:szCs w:val="32"/>
          <w:lang w:eastAsia="zh-CN"/>
        </w:rPr>
        <w:t>提高</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农产品质量安全水平稳中向好</w:t>
      </w:r>
      <w:r>
        <w:rPr>
          <w:rFonts w:hint="eastAsia" w:ascii="仿宋_GB2312" w:hAnsi="仿宋_GB2312" w:eastAsia="仿宋_GB2312" w:cs="仿宋_GB2312"/>
          <w:color w:val="auto"/>
          <w:sz w:val="32"/>
          <w:szCs w:val="32"/>
        </w:rPr>
        <w:t>。</w:t>
      </w:r>
    </w:p>
    <w:p w14:paraId="3D8511C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二</w:t>
      </w:r>
      <w:r>
        <w:rPr>
          <w:rFonts w:hint="eastAsia" w:ascii="黑体" w:hAnsi="黑体" w:eastAsia="黑体" w:cs="黑体"/>
          <w:color w:val="auto"/>
          <w:sz w:val="32"/>
          <w:szCs w:val="32"/>
        </w:rPr>
        <w:t>、</w:t>
      </w:r>
      <w:r>
        <w:rPr>
          <w:rFonts w:hint="eastAsia" w:ascii="黑体" w:hAnsi="黑体" w:eastAsia="黑体" w:cs="黑体"/>
          <w:color w:val="auto"/>
          <w:sz w:val="32"/>
          <w:szCs w:val="32"/>
          <w:lang w:eastAsia="zh-CN"/>
        </w:rPr>
        <w:t>工作要求</w:t>
      </w:r>
    </w:p>
    <w:p w14:paraId="368D7D7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（一）健全监管体系</w:t>
      </w:r>
    </w:p>
    <w:p w14:paraId="7DFC9B4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严格落实《中华人民共和国农产品质量安全法》《福建省农产品质量安全条例》，加大督促指导力度，用好食品安全“三书一函”制度，建立常态化约谈机制，压实属地管理责任、部门监管责任。总结推广先进典型经验做法，整体提升农产品质量安全治理能力和水平。健全完善乡镇网格化制度，规范乡镇监管机构日常监督管理。压实生产经营主体责任，督促农产品生产经营者对其生产经营的农产品质量安全负责，依照法律、法规和农产品质量安全标准从事生产经营活动，诚信自律，接受社会监督，承担社会责任。</w:t>
      </w:r>
    </w:p>
    <w:p w14:paraId="65155F1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（二）加强追溯管控</w:t>
      </w:r>
    </w:p>
    <w:p w14:paraId="79CEFE1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深入推进食用农产品承诺达标合格证与一品一码追溯并行制度，持续开展生产经营者调查摸底、系统纳管，鼓励引导农户使用并行系统，做到应纳尽纳。督促生产主体规范开具承诺达标合格证，建立开具台账。将承诺达标合格证开具、索证、存档落实情况纳入日常巡查主要内容，持续开展线上巡查，做到市级每月、县级每周、乡镇每天线上巡查全覆盖。实行市场倒查比对通报，倒逼生产主体自觉开具承诺达标合格证/追溯凭证。将承诺达标合格证与一品一码追溯并行制度落实情况与农业农村重大创建认定、项目申报、农业品牌推选、农产品认证、农业展会参展等挂钩，充分调动食用农产品生产主体的积极性、主动性。</w:t>
      </w:r>
    </w:p>
    <w:p w14:paraId="31EF005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（三）做好监测预警</w:t>
      </w:r>
    </w:p>
    <w:p w14:paraId="5F260BE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积极推动县级农产品质检机构和乡镇监管站检测能力提升和规范管理，提高基层检测能力和水平。加快推广禁用农药和常规农药胶体金法快速检测技术，规范快检结果出具和检测参数标识。坚持问题导向，以地产常检出的参数、易超标的品种为重点，开展专项监督抽查，提高主动发现风险能力。建立健全农产品质量安全快速反应制度，对发现的农产品质量安全问题，采取停止销售、结果通报、监督检查、执法办案、联动协查、会商分析、应急处置等即时有效的处置措施，推动问题及时得到解决。</w:t>
      </w:r>
    </w:p>
    <w:p w14:paraId="544B97B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（四）畅通信息共享</w:t>
      </w:r>
    </w:p>
    <w:p w14:paraId="2540F836">
      <w:pPr>
        <w:pStyle w:val="2"/>
        <w:ind w:firstLine="64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建立线索通报协查机制，发现不合格线索时，农产品质量安全监管机构、执法机构、检测机构、产业主管机构和用药指导机构等应当及时开展会商，分析问题症结。对农产品质量安全监督抽查发现的不合格农产品，监管机构第一时间移送当地农业综合执法机构立案查处，涉及刑事犯罪的，及时移送公安机关侦办。结合风险监测、监督抽检、市场倒查、检疫比对等手段，加强承诺达标合格证开具检查，发现未合规开具承诺达标合格证情况的，及时移交线索。要健全与市场监管、公安、卫生健康等部门常态化会商沟通、信息通报等工作机制，深化行刑衔接，公布典型案例形成震慑。</w:t>
      </w:r>
    </w:p>
    <w:p w14:paraId="3BE9058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（五）强化执法办案</w:t>
      </w:r>
    </w:p>
    <w:p w14:paraId="01F7F8A5">
      <w:pPr>
        <w:pStyle w:val="2"/>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要加大执法检查力度，严格落实“检打联动”，重拳打击使用禁限用农药、兽药等违法行为，依法查处常规农药和兽药残留超标问题。严格落实“行刑衔接”，涉嫌犯罪的要及时移送公安，依法追究刑事责任。要运用好执法查处成果，通过官方平台、媒体曝光等多种渠道，广泛宣传典型案例，强化警示教育，发挥震慑作用。</w:t>
      </w:r>
    </w:p>
    <w:p w14:paraId="2C308918">
      <w:pPr>
        <w:wordWrap w:val="0"/>
        <w:jc w:val="both"/>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328EE"/>
    <w:rsid w:val="0CB44C6C"/>
    <w:rsid w:val="2F0328EE"/>
    <w:rsid w:val="38735EAC"/>
    <w:rsid w:val="4B080A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szCs w:val="20"/>
    </w:rPr>
  </w:style>
  <w:style w:type="paragraph" w:styleId="3">
    <w:name w:val="footer"/>
    <w:basedOn w:val="1"/>
    <w:next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1830</Words>
  <Characters>1866</Characters>
  <Lines>0</Lines>
  <Paragraphs>0</Paragraphs>
  <TotalTime>8</TotalTime>
  <ScaleCrop>false</ScaleCrop>
  <LinksUpToDate>false</LinksUpToDate>
  <CharactersWithSpaces>1919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2026-08-26T00:34:00Z</dcterms:created>
  <dc:creator>hqc</dc:creator>
  <cp:lastModifiedBy>hqc</cp:lastModifiedBy>
  <cp:lastPrinted>2026-08-26T01:50:00Z</cp:lastPrinted>
  <dcterms:modified xsi:type="dcterms:W3CDTF">2026-09-07T00:54:58Z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F7199AA035F24D9BA8A18B0F0A7A617C_11</vt:lpwstr>
  </property>
  <property fmtid="{D5CDD505-2E9C-101B-9397-08002B2CF9AE}" pid="4" name="KSOTemplateDocerSaveRecord">
    <vt:lpwstr>eyJoZGlkIjoiNjZlYTI3NTYxMjM1MjQ1YjdiNTI5Njc1MDgyOGEzOTQiLCJ1c2VySWQiOiI2Mjc2MzI4MzcifQ==</vt:lpwstr>
  </property>
</Properties>
</file>