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2B6E" w14:textId="77777777" w:rsidR="00D8484C" w:rsidRPr="00D8484C" w:rsidRDefault="00D8484C" w:rsidP="00D8484C">
      <w:pPr>
        <w:widowControl/>
        <w:shd w:val="clear" w:color="auto" w:fill="FFFFFF"/>
        <w:spacing w:before="300" w:line="690" w:lineRule="atLeast"/>
        <w:jc w:val="center"/>
        <w:outlineLvl w:val="0"/>
        <w:rPr>
          <w:rFonts w:ascii="微软雅黑" w:eastAsia="微软雅黑" w:hAnsi="微软雅黑" w:cs="宋体"/>
          <w:b/>
          <w:bCs/>
          <w:color w:val="333333"/>
          <w:kern w:val="36"/>
          <w:sz w:val="48"/>
          <w:szCs w:val="48"/>
        </w:rPr>
      </w:pPr>
      <w:r w:rsidRPr="00D8484C">
        <w:rPr>
          <w:rFonts w:ascii="微软雅黑" w:eastAsia="微软雅黑" w:hAnsi="微软雅黑" w:cs="宋体" w:hint="eastAsia"/>
          <w:b/>
          <w:bCs/>
          <w:color w:val="333333"/>
          <w:kern w:val="36"/>
          <w:sz w:val="48"/>
          <w:szCs w:val="48"/>
        </w:rPr>
        <w:t>福建省动物防疫条例（2022年）</w:t>
      </w:r>
    </w:p>
    <w:p w14:paraId="5921A9F8" w14:textId="77777777" w:rsidR="00D8484C" w:rsidRPr="00D8484C" w:rsidRDefault="00D8484C" w:rsidP="00D8484C">
      <w:pPr>
        <w:widowControl/>
        <w:shd w:val="clear" w:color="auto" w:fill="FFFFFF"/>
        <w:wordWrap w:val="0"/>
        <w:spacing w:before="225" w:after="212" w:line="480" w:lineRule="atLeast"/>
        <w:jc w:val="center"/>
        <w:rPr>
          <w:rFonts w:ascii="宋体" w:eastAsia="宋体" w:hAnsi="宋体" w:cs="宋体"/>
          <w:color w:val="333333"/>
          <w:kern w:val="0"/>
          <w:sz w:val="24"/>
          <w:szCs w:val="24"/>
        </w:rPr>
      </w:pPr>
      <w:r w:rsidRPr="00D8484C">
        <w:rPr>
          <w:rFonts w:ascii="宋体" w:eastAsia="宋体" w:hAnsi="宋体" w:cs="宋体" w:hint="eastAsia"/>
          <w:color w:val="333333"/>
          <w:kern w:val="0"/>
          <w:sz w:val="24"/>
          <w:szCs w:val="24"/>
        </w:rPr>
        <w:t> </w:t>
      </w:r>
    </w:p>
    <w:p w14:paraId="7B827212" w14:textId="77777777" w:rsidR="00D8484C" w:rsidRPr="00D8484C" w:rsidRDefault="00D8484C" w:rsidP="00D8484C">
      <w:pPr>
        <w:widowControl/>
        <w:shd w:val="clear" w:color="auto" w:fill="FFFFFF"/>
        <w:wordWrap w:val="0"/>
        <w:spacing w:line="480" w:lineRule="atLeast"/>
        <w:jc w:val="center"/>
        <w:rPr>
          <w:rFonts w:ascii="宋体" w:eastAsia="宋体" w:hAnsi="宋体" w:cs="宋体"/>
          <w:color w:val="333333"/>
          <w:kern w:val="0"/>
          <w:sz w:val="24"/>
          <w:szCs w:val="24"/>
        </w:rPr>
      </w:pPr>
      <w:r w:rsidRPr="00D8484C">
        <w:rPr>
          <w:rFonts w:ascii="宋体" w:eastAsia="宋体" w:hAnsi="宋体" w:cs="宋体" w:hint="eastAsia"/>
          <w:color w:val="333333"/>
          <w:kern w:val="0"/>
          <w:sz w:val="24"/>
          <w:szCs w:val="24"/>
        </w:rPr>
        <w:t>福建省人民代表大会常务委员会公告</w:t>
      </w:r>
    </w:p>
    <w:p w14:paraId="565F1AB8" w14:textId="77777777" w:rsidR="00D8484C" w:rsidRPr="00D8484C" w:rsidRDefault="00D8484C" w:rsidP="00D8484C">
      <w:pPr>
        <w:widowControl/>
        <w:shd w:val="clear" w:color="auto" w:fill="FFFFFF"/>
        <w:wordWrap w:val="0"/>
        <w:spacing w:line="480" w:lineRule="atLeast"/>
        <w:jc w:val="center"/>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〔十三届〕第八十二号</w:t>
      </w:r>
    </w:p>
    <w:p w14:paraId="1990DA31" w14:textId="77777777" w:rsidR="00D8484C" w:rsidRPr="00D8484C" w:rsidRDefault="00D8484C" w:rsidP="00D8484C">
      <w:pPr>
        <w:widowControl/>
        <w:shd w:val="clear" w:color="auto" w:fill="FFFFFF"/>
        <w:wordWrap w:val="0"/>
        <w:spacing w:line="480" w:lineRule="atLeast"/>
        <w:jc w:val="center"/>
        <w:rPr>
          <w:rFonts w:ascii="宋体" w:eastAsia="宋体" w:hAnsi="宋体" w:cs="宋体"/>
          <w:color w:val="333333"/>
          <w:kern w:val="0"/>
          <w:sz w:val="24"/>
          <w:szCs w:val="24"/>
        </w:rPr>
      </w:pPr>
      <w:r w:rsidRPr="00D8484C">
        <w:rPr>
          <w:rFonts w:ascii="方正楷体_GBK" w:eastAsia="方正楷体_GBK" w:hAnsi="宋体" w:cs="宋体" w:hint="eastAsia"/>
          <w:color w:val="000000"/>
          <w:kern w:val="0"/>
          <w:sz w:val="32"/>
          <w:szCs w:val="32"/>
        </w:rPr>
        <w:t> </w:t>
      </w:r>
    </w:p>
    <w:p w14:paraId="650F3901" w14:textId="77777777" w:rsidR="00D8484C" w:rsidRPr="00D8484C" w:rsidRDefault="00D8484C" w:rsidP="00D8484C">
      <w:pPr>
        <w:widowControl/>
        <w:shd w:val="clear" w:color="auto" w:fill="FFFFFF"/>
        <w:wordWrap w:val="0"/>
        <w:spacing w:line="560" w:lineRule="atLeast"/>
        <w:ind w:firstLine="656"/>
        <w:rPr>
          <w:rFonts w:ascii="宋体" w:eastAsia="宋体" w:hAnsi="宋体" w:cs="宋体"/>
          <w:color w:val="333333"/>
          <w:kern w:val="0"/>
          <w:sz w:val="24"/>
          <w:szCs w:val="24"/>
        </w:rPr>
      </w:pPr>
      <w:r w:rsidRPr="00D8484C">
        <w:rPr>
          <w:rFonts w:ascii="宋体" w:eastAsia="宋体" w:hAnsi="宋体" w:cs="宋体" w:hint="eastAsia"/>
          <w:color w:val="333333"/>
          <w:kern w:val="0"/>
          <w:sz w:val="24"/>
          <w:szCs w:val="24"/>
        </w:rPr>
        <w:t>《福建省动物防疫</w:t>
      </w:r>
      <w:r w:rsidRPr="00D8484C">
        <w:rPr>
          <w:rFonts w:ascii="宋体" w:eastAsia="宋体" w:hAnsi="宋体" w:cs="Times New Roman" w:hint="eastAsia"/>
          <w:color w:val="000000"/>
          <w:kern w:val="0"/>
          <w:sz w:val="24"/>
          <w:szCs w:val="24"/>
        </w:rPr>
        <w:t>条例</w:t>
      </w:r>
      <w:r w:rsidRPr="00D8484C">
        <w:rPr>
          <w:rFonts w:ascii="宋体" w:eastAsia="宋体" w:hAnsi="宋体" w:cs="宋体" w:hint="eastAsia"/>
          <w:color w:val="333333"/>
          <w:kern w:val="0"/>
          <w:sz w:val="24"/>
          <w:szCs w:val="24"/>
        </w:rPr>
        <w:t>》已由福建省第十三届人民代表大会常务委员会第三十四次会议于</w:t>
      </w:r>
      <w:r w:rsidRPr="00D8484C">
        <w:rPr>
          <w:rFonts w:ascii="仿宋_GB2312" w:eastAsia="仿宋_GB2312" w:hAnsi="宋体" w:cs="宋体" w:hint="eastAsia"/>
          <w:color w:val="333333"/>
          <w:kern w:val="0"/>
          <w:sz w:val="32"/>
          <w:szCs w:val="32"/>
        </w:rPr>
        <w:t>2022</w:t>
      </w:r>
      <w:r w:rsidRPr="00D8484C">
        <w:rPr>
          <w:rFonts w:ascii="宋体" w:eastAsia="宋体" w:hAnsi="宋体" w:cs="宋体" w:hint="eastAsia"/>
          <w:color w:val="333333"/>
          <w:kern w:val="0"/>
          <w:sz w:val="24"/>
          <w:szCs w:val="24"/>
        </w:rPr>
        <w:t>年</w:t>
      </w:r>
      <w:r w:rsidRPr="00D8484C">
        <w:rPr>
          <w:rFonts w:ascii="仿宋_GB2312" w:eastAsia="仿宋_GB2312" w:hAnsi="宋体" w:cs="宋体" w:hint="eastAsia"/>
          <w:color w:val="333333"/>
          <w:kern w:val="0"/>
          <w:sz w:val="32"/>
          <w:szCs w:val="32"/>
        </w:rPr>
        <w:t>7</w:t>
      </w:r>
      <w:r w:rsidRPr="00D8484C">
        <w:rPr>
          <w:rFonts w:ascii="宋体" w:eastAsia="宋体" w:hAnsi="宋体" w:cs="宋体" w:hint="eastAsia"/>
          <w:color w:val="333333"/>
          <w:kern w:val="0"/>
          <w:sz w:val="24"/>
          <w:szCs w:val="24"/>
        </w:rPr>
        <w:t>月</w:t>
      </w:r>
      <w:r w:rsidRPr="00D8484C">
        <w:rPr>
          <w:rFonts w:ascii="仿宋_GB2312" w:eastAsia="仿宋_GB2312" w:hAnsi="宋体" w:cs="宋体" w:hint="eastAsia"/>
          <w:color w:val="333333"/>
          <w:kern w:val="0"/>
          <w:sz w:val="32"/>
          <w:szCs w:val="32"/>
        </w:rPr>
        <w:t>28</w:t>
      </w:r>
      <w:r w:rsidRPr="00D8484C">
        <w:rPr>
          <w:rFonts w:ascii="宋体" w:eastAsia="宋体" w:hAnsi="宋体" w:cs="宋体" w:hint="eastAsia"/>
          <w:color w:val="333333"/>
          <w:kern w:val="0"/>
          <w:sz w:val="24"/>
          <w:szCs w:val="24"/>
        </w:rPr>
        <w:t>日通过，现予公布。本条例自</w:t>
      </w:r>
      <w:r w:rsidRPr="00D8484C">
        <w:rPr>
          <w:rFonts w:ascii="仿宋_GB2312" w:eastAsia="仿宋_GB2312" w:hAnsi="宋体" w:cs="宋体" w:hint="eastAsia"/>
          <w:color w:val="333333"/>
          <w:kern w:val="0"/>
          <w:sz w:val="32"/>
          <w:szCs w:val="32"/>
        </w:rPr>
        <w:t>2022年10月1日</w:t>
      </w:r>
      <w:r w:rsidRPr="00D8484C">
        <w:rPr>
          <w:rFonts w:ascii="宋体" w:eastAsia="宋体" w:hAnsi="宋体" w:cs="宋体" w:hint="eastAsia"/>
          <w:color w:val="333333"/>
          <w:kern w:val="0"/>
          <w:sz w:val="24"/>
          <w:szCs w:val="24"/>
        </w:rPr>
        <w:t>起施行。</w:t>
      </w:r>
    </w:p>
    <w:p w14:paraId="140AC5D7" w14:textId="77777777" w:rsidR="00D8484C" w:rsidRPr="00D8484C" w:rsidRDefault="00D8484C" w:rsidP="00D8484C">
      <w:pPr>
        <w:widowControl/>
        <w:shd w:val="clear" w:color="auto" w:fill="FFFFFF"/>
        <w:wordWrap w:val="0"/>
        <w:spacing w:line="560" w:lineRule="atLeast"/>
        <w:ind w:firstLine="435"/>
        <w:rPr>
          <w:rFonts w:ascii="宋体" w:eastAsia="宋体" w:hAnsi="宋体" w:cs="宋体"/>
          <w:color w:val="333333"/>
          <w:kern w:val="0"/>
          <w:sz w:val="24"/>
          <w:szCs w:val="24"/>
        </w:rPr>
      </w:pPr>
      <w:r w:rsidRPr="00D8484C">
        <w:rPr>
          <w:rFonts w:ascii="仿宋_GB2312" w:eastAsia="仿宋_GB2312" w:hAnsi="宋体" w:cs="宋体" w:hint="eastAsia"/>
          <w:color w:val="333333"/>
          <w:kern w:val="0"/>
          <w:sz w:val="32"/>
          <w:szCs w:val="32"/>
        </w:rPr>
        <w:t> </w:t>
      </w:r>
    </w:p>
    <w:p w14:paraId="7C5480D9" w14:textId="77777777" w:rsidR="00D8484C" w:rsidRPr="00D8484C" w:rsidRDefault="00D8484C" w:rsidP="00D8484C">
      <w:pPr>
        <w:widowControl/>
        <w:shd w:val="clear" w:color="auto" w:fill="FFFFFF"/>
        <w:wordWrap w:val="0"/>
        <w:spacing w:line="560" w:lineRule="atLeast"/>
        <w:ind w:firstLine="435"/>
        <w:rPr>
          <w:rFonts w:ascii="宋体" w:eastAsia="宋体" w:hAnsi="宋体" w:cs="宋体"/>
          <w:color w:val="333333"/>
          <w:kern w:val="0"/>
          <w:sz w:val="24"/>
          <w:szCs w:val="24"/>
        </w:rPr>
      </w:pPr>
      <w:r w:rsidRPr="00D8484C">
        <w:rPr>
          <w:rFonts w:ascii="仿宋_GB2312" w:eastAsia="仿宋_GB2312" w:hAnsi="宋体" w:cs="宋体" w:hint="eastAsia"/>
          <w:color w:val="333333"/>
          <w:kern w:val="0"/>
          <w:sz w:val="32"/>
          <w:szCs w:val="32"/>
        </w:rPr>
        <w:t> </w:t>
      </w:r>
    </w:p>
    <w:p w14:paraId="50E00A6E" w14:textId="77777777" w:rsidR="00D8484C" w:rsidRPr="00D8484C" w:rsidRDefault="00D8484C" w:rsidP="00D8484C">
      <w:pPr>
        <w:widowControl/>
        <w:shd w:val="clear" w:color="auto" w:fill="FFFFFF"/>
        <w:wordWrap w:val="0"/>
        <w:spacing w:line="560" w:lineRule="atLeast"/>
        <w:ind w:firstLine="2240"/>
        <w:jc w:val="right"/>
        <w:rPr>
          <w:rFonts w:ascii="宋体" w:eastAsia="宋体" w:hAnsi="宋体" w:cs="宋体"/>
          <w:color w:val="333333"/>
          <w:kern w:val="0"/>
          <w:sz w:val="24"/>
          <w:szCs w:val="24"/>
        </w:rPr>
      </w:pPr>
      <w:r w:rsidRPr="00D8484C">
        <w:rPr>
          <w:rFonts w:ascii="宋体" w:eastAsia="宋体" w:hAnsi="宋体" w:cs="宋体" w:hint="eastAsia"/>
          <w:color w:val="333333"/>
          <w:kern w:val="0"/>
          <w:sz w:val="24"/>
          <w:szCs w:val="24"/>
        </w:rPr>
        <w:t>福建省人民代表大会常务委员会</w:t>
      </w:r>
      <w:r w:rsidRPr="00D8484C">
        <w:rPr>
          <w:rFonts w:ascii="仿宋_GB2312" w:eastAsia="仿宋_GB2312" w:hAnsi="宋体" w:cs="宋体" w:hint="eastAsia"/>
          <w:color w:val="333333"/>
          <w:kern w:val="0"/>
          <w:sz w:val="32"/>
          <w:szCs w:val="32"/>
        </w:rPr>
        <w:t>    </w:t>
      </w:r>
    </w:p>
    <w:p w14:paraId="3DFCF2B5" w14:textId="77777777" w:rsidR="00D8484C" w:rsidRPr="00D8484C" w:rsidRDefault="00D8484C" w:rsidP="00D8484C">
      <w:pPr>
        <w:widowControl/>
        <w:shd w:val="clear" w:color="auto" w:fill="FFFFFF"/>
        <w:wordWrap w:val="0"/>
        <w:spacing w:line="560" w:lineRule="atLeast"/>
        <w:ind w:firstLine="2240"/>
        <w:rPr>
          <w:rFonts w:ascii="宋体" w:eastAsia="宋体" w:hAnsi="宋体" w:cs="宋体"/>
          <w:color w:val="333333"/>
          <w:kern w:val="0"/>
          <w:sz w:val="24"/>
          <w:szCs w:val="24"/>
        </w:rPr>
      </w:pPr>
      <w:r w:rsidRPr="00D8484C">
        <w:rPr>
          <w:rFonts w:ascii="宋体" w:eastAsia="宋体" w:hAnsi="宋体" w:cs="宋体" w:hint="eastAsia"/>
          <w:color w:val="333333"/>
          <w:kern w:val="0"/>
          <w:sz w:val="24"/>
          <w:szCs w:val="24"/>
        </w:rPr>
        <w:t xml:space="preserve">　　                       </w:t>
      </w:r>
      <w:r w:rsidRPr="00D8484C">
        <w:rPr>
          <w:rFonts w:ascii="仿宋_GB2312" w:eastAsia="仿宋_GB2312" w:hAnsi="宋体" w:cs="宋体" w:hint="eastAsia"/>
          <w:color w:val="333333"/>
          <w:kern w:val="0"/>
          <w:sz w:val="24"/>
          <w:szCs w:val="24"/>
        </w:rPr>
        <w:t>              </w:t>
      </w:r>
      <w:r w:rsidRPr="00D8484C">
        <w:rPr>
          <w:rFonts w:ascii="仿宋_GB2312" w:eastAsia="仿宋_GB2312" w:hAnsi="宋体" w:cs="宋体" w:hint="eastAsia"/>
          <w:color w:val="333333"/>
          <w:kern w:val="0"/>
          <w:sz w:val="24"/>
          <w:szCs w:val="24"/>
        </w:rPr>
        <w:t xml:space="preserve"> </w:t>
      </w:r>
      <w:r w:rsidRPr="00D8484C">
        <w:rPr>
          <w:rFonts w:ascii="仿宋_GB2312" w:eastAsia="仿宋_GB2312" w:hAnsi="宋体" w:cs="宋体" w:hint="eastAsia"/>
          <w:color w:val="333333"/>
          <w:kern w:val="0"/>
          <w:sz w:val="24"/>
          <w:szCs w:val="24"/>
        </w:rPr>
        <w:t> </w:t>
      </w:r>
      <w:r w:rsidRPr="00D8484C">
        <w:rPr>
          <w:rFonts w:ascii="仿宋_GB2312" w:eastAsia="仿宋_GB2312" w:hAnsi="宋体" w:cs="宋体" w:hint="eastAsia"/>
          <w:color w:val="333333"/>
          <w:kern w:val="0"/>
          <w:sz w:val="32"/>
          <w:szCs w:val="32"/>
        </w:rPr>
        <w:t>2022</w:t>
      </w:r>
      <w:r w:rsidRPr="00D8484C">
        <w:rPr>
          <w:rFonts w:ascii="宋体" w:eastAsia="宋体" w:hAnsi="宋体" w:cs="宋体" w:hint="eastAsia"/>
          <w:color w:val="333333"/>
          <w:kern w:val="0"/>
          <w:sz w:val="24"/>
          <w:szCs w:val="24"/>
        </w:rPr>
        <w:t>年</w:t>
      </w:r>
      <w:r w:rsidRPr="00D8484C">
        <w:rPr>
          <w:rFonts w:ascii="仿宋_GB2312" w:eastAsia="仿宋_GB2312" w:hAnsi="宋体" w:cs="宋体" w:hint="eastAsia"/>
          <w:color w:val="333333"/>
          <w:kern w:val="0"/>
          <w:sz w:val="32"/>
          <w:szCs w:val="32"/>
        </w:rPr>
        <w:t>7</w:t>
      </w:r>
      <w:r w:rsidRPr="00D8484C">
        <w:rPr>
          <w:rFonts w:ascii="宋体" w:eastAsia="宋体" w:hAnsi="宋体" w:cs="宋体" w:hint="eastAsia"/>
          <w:color w:val="333333"/>
          <w:kern w:val="0"/>
          <w:sz w:val="24"/>
          <w:szCs w:val="24"/>
        </w:rPr>
        <w:t>月</w:t>
      </w:r>
      <w:r w:rsidRPr="00D8484C">
        <w:rPr>
          <w:rFonts w:ascii="仿宋_GB2312" w:eastAsia="仿宋_GB2312" w:hAnsi="宋体" w:cs="宋体" w:hint="eastAsia"/>
          <w:color w:val="333333"/>
          <w:kern w:val="0"/>
          <w:sz w:val="32"/>
          <w:szCs w:val="32"/>
        </w:rPr>
        <w:t>28</w:t>
      </w:r>
      <w:r w:rsidRPr="00D8484C">
        <w:rPr>
          <w:rFonts w:ascii="宋体" w:eastAsia="宋体" w:hAnsi="宋体" w:cs="宋体" w:hint="eastAsia"/>
          <w:color w:val="333333"/>
          <w:kern w:val="0"/>
          <w:sz w:val="24"/>
          <w:szCs w:val="24"/>
        </w:rPr>
        <w:t>日</w:t>
      </w:r>
    </w:p>
    <w:p w14:paraId="2BF7CDF1" w14:textId="77777777" w:rsidR="00D8484C" w:rsidRPr="00D8484C" w:rsidRDefault="00D8484C" w:rsidP="00D8484C">
      <w:pPr>
        <w:widowControl/>
        <w:shd w:val="clear" w:color="auto" w:fill="FFFFFF"/>
        <w:wordWrap w:val="0"/>
        <w:spacing w:line="560" w:lineRule="atLeast"/>
        <w:rPr>
          <w:rFonts w:ascii="宋体" w:eastAsia="宋体" w:hAnsi="宋体" w:cs="宋体"/>
          <w:color w:val="333333"/>
          <w:kern w:val="0"/>
          <w:sz w:val="24"/>
          <w:szCs w:val="24"/>
        </w:rPr>
      </w:pPr>
      <w:r w:rsidRPr="00D8484C">
        <w:rPr>
          <w:rFonts w:ascii="方正小标宋_GBK" w:eastAsia="方正小标宋_GBK" w:hAnsi="宋体" w:cs="宋体" w:hint="eastAsia"/>
          <w:color w:val="000000"/>
          <w:kern w:val="0"/>
          <w:sz w:val="44"/>
          <w:szCs w:val="44"/>
        </w:rPr>
        <w:br w:type="textWrapping" w:clear="all"/>
      </w:r>
    </w:p>
    <w:p w14:paraId="015A8162" w14:textId="77777777" w:rsidR="00A8370B" w:rsidRDefault="00A8370B" w:rsidP="00D8484C">
      <w:pPr>
        <w:widowControl/>
        <w:shd w:val="clear" w:color="auto" w:fill="FFFFFF"/>
        <w:wordWrap w:val="0"/>
        <w:spacing w:line="596" w:lineRule="atLeast"/>
        <w:jc w:val="center"/>
        <w:textAlignment w:val="top"/>
        <w:rPr>
          <w:rFonts w:ascii="宋体" w:eastAsia="宋体" w:hAnsi="宋体" w:cs="宋体"/>
          <w:color w:val="000000"/>
          <w:kern w:val="0"/>
          <w:sz w:val="24"/>
          <w:szCs w:val="24"/>
          <w:shd w:val="clear" w:color="auto" w:fill="FFFFFF"/>
        </w:rPr>
      </w:pPr>
    </w:p>
    <w:p w14:paraId="232C8605" w14:textId="77777777" w:rsidR="00A8370B" w:rsidRDefault="00A8370B" w:rsidP="00D8484C">
      <w:pPr>
        <w:widowControl/>
        <w:shd w:val="clear" w:color="auto" w:fill="FFFFFF"/>
        <w:wordWrap w:val="0"/>
        <w:spacing w:line="596" w:lineRule="atLeast"/>
        <w:jc w:val="center"/>
        <w:textAlignment w:val="top"/>
        <w:rPr>
          <w:rFonts w:ascii="宋体" w:eastAsia="宋体" w:hAnsi="宋体" w:cs="宋体"/>
          <w:color w:val="000000"/>
          <w:kern w:val="0"/>
          <w:sz w:val="24"/>
          <w:szCs w:val="24"/>
          <w:shd w:val="clear" w:color="auto" w:fill="FFFFFF"/>
        </w:rPr>
      </w:pPr>
    </w:p>
    <w:p w14:paraId="69864716" w14:textId="77777777" w:rsidR="00A8370B" w:rsidRDefault="00A8370B" w:rsidP="00D8484C">
      <w:pPr>
        <w:widowControl/>
        <w:shd w:val="clear" w:color="auto" w:fill="FFFFFF"/>
        <w:wordWrap w:val="0"/>
        <w:spacing w:line="596" w:lineRule="atLeast"/>
        <w:jc w:val="center"/>
        <w:textAlignment w:val="top"/>
        <w:rPr>
          <w:rFonts w:ascii="宋体" w:eastAsia="宋体" w:hAnsi="宋体" w:cs="宋体"/>
          <w:color w:val="000000"/>
          <w:kern w:val="0"/>
          <w:sz w:val="24"/>
          <w:szCs w:val="24"/>
          <w:shd w:val="clear" w:color="auto" w:fill="FFFFFF"/>
        </w:rPr>
      </w:pPr>
    </w:p>
    <w:p w14:paraId="4EE1C4B3" w14:textId="77777777" w:rsidR="00A8370B" w:rsidRDefault="00A8370B" w:rsidP="00D8484C">
      <w:pPr>
        <w:widowControl/>
        <w:shd w:val="clear" w:color="auto" w:fill="FFFFFF"/>
        <w:wordWrap w:val="0"/>
        <w:spacing w:line="596" w:lineRule="atLeast"/>
        <w:jc w:val="center"/>
        <w:textAlignment w:val="top"/>
        <w:rPr>
          <w:rFonts w:ascii="宋体" w:eastAsia="宋体" w:hAnsi="宋体" w:cs="宋体"/>
          <w:color w:val="000000"/>
          <w:kern w:val="0"/>
          <w:sz w:val="24"/>
          <w:szCs w:val="24"/>
          <w:shd w:val="clear" w:color="auto" w:fill="FFFFFF"/>
        </w:rPr>
      </w:pPr>
    </w:p>
    <w:p w14:paraId="37CE1706" w14:textId="77777777" w:rsidR="00A8370B" w:rsidRDefault="00A8370B" w:rsidP="00D8484C">
      <w:pPr>
        <w:widowControl/>
        <w:shd w:val="clear" w:color="auto" w:fill="FFFFFF"/>
        <w:wordWrap w:val="0"/>
        <w:spacing w:line="596" w:lineRule="atLeast"/>
        <w:jc w:val="center"/>
        <w:textAlignment w:val="top"/>
        <w:rPr>
          <w:rFonts w:ascii="宋体" w:eastAsia="宋体" w:hAnsi="宋体" w:cs="宋体"/>
          <w:color w:val="000000"/>
          <w:kern w:val="0"/>
          <w:sz w:val="24"/>
          <w:szCs w:val="24"/>
          <w:shd w:val="clear" w:color="auto" w:fill="FFFFFF"/>
        </w:rPr>
      </w:pPr>
    </w:p>
    <w:p w14:paraId="1A4BE102" w14:textId="77777777" w:rsidR="00A8370B" w:rsidRDefault="00A8370B" w:rsidP="00D8484C">
      <w:pPr>
        <w:widowControl/>
        <w:shd w:val="clear" w:color="auto" w:fill="FFFFFF"/>
        <w:wordWrap w:val="0"/>
        <w:spacing w:line="596" w:lineRule="atLeast"/>
        <w:jc w:val="center"/>
        <w:textAlignment w:val="top"/>
        <w:rPr>
          <w:rFonts w:ascii="宋体" w:eastAsia="宋体" w:hAnsi="宋体" w:cs="宋体"/>
          <w:color w:val="000000"/>
          <w:kern w:val="0"/>
          <w:sz w:val="24"/>
          <w:szCs w:val="24"/>
          <w:shd w:val="clear" w:color="auto" w:fill="FFFFFF"/>
        </w:rPr>
      </w:pPr>
    </w:p>
    <w:p w14:paraId="5CA45544" w14:textId="78561AB7" w:rsidR="00D8484C" w:rsidRPr="00D8484C" w:rsidRDefault="00D8484C" w:rsidP="00D8484C">
      <w:pPr>
        <w:widowControl/>
        <w:shd w:val="clear" w:color="auto" w:fill="FFFFFF"/>
        <w:wordWrap w:val="0"/>
        <w:spacing w:line="596"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shd w:val="clear" w:color="auto" w:fill="FFFFFF"/>
        </w:rPr>
        <w:lastRenderedPageBreak/>
        <w:t>福建省动物防疫条例</w:t>
      </w:r>
    </w:p>
    <w:p w14:paraId="2767ECD1" w14:textId="77777777" w:rsidR="00D8484C" w:rsidRPr="00D8484C" w:rsidRDefault="00D8484C" w:rsidP="00D8484C">
      <w:pPr>
        <w:widowControl/>
        <w:shd w:val="clear" w:color="auto" w:fill="FFFFFF"/>
        <w:wordWrap w:val="0"/>
        <w:spacing w:line="560" w:lineRule="atLeast"/>
        <w:jc w:val="center"/>
        <w:textAlignment w:val="center"/>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w:t>
      </w:r>
      <w:r w:rsidRPr="00D8484C">
        <w:rPr>
          <w:rFonts w:ascii="楷体_GB2312" w:eastAsia="楷体_GB2312" w:hAnsi="宋体" w:cs="宋体" w:hint="eastAsia"/>
          <w:color w:val="000000"/>
          <w:kern w:val="0"/>
          <w:sz w:val="32"/>
          <w:szCs w:val="32"/>
        </w:rPr>
        <w:t>2022年7月28日福建省第十三届人民代表大会</w:t>
      </w:r>
      <w:r w:rsidRPr="00D8484C">
        <w:rPr>
          <w:rFonts w:ascii="宋体" w:eastAsia="宋体" w:hAnsi="宋体" w:cs="宋体" w:hint="eastAsia"/>
          <w:color w:val="000000"/>
          <w:kern w:val="0"/>
          <w:sz w:val="24"/>
          <w:szCs w:val="24"/>
        </w:rPr>
        <w:t>常务委员会第三十四次会议通过）</w:t>
      </w:r>
    </w:p>
    <w:p w14:paraId="58F4E2F8" w14:textId="77777777" w:rsidR="00D8484C" w:rsidRPr="00D8484C" w:rsidRDefault="00D8484C" w:rsidP="00D8484C">
      <w:pPr>
        <w:widowControl/>
        <w:shd w:val="clear" w:color="auto" w:fill="FFFFFF"/>
        <w:wordWrap w:val="0"/>
        <w:spacing w:line="596" w:lineRule="atLeast"/>
        <w:jc w:val="center"/>
        <w:textAlignment w:val="top"/>
        <w:rPr>
          <w:rFonts w:ascii="宋体" w:eastAsia="宋体" w:hAnsi="宋体" w:cs="宋体"/>
          <w:color w:val="333333"/>
          <w:kern w:val="0"/>
          <w:sz w:val="24"/>
          <w:szCs w:val="24"/>
        </w:rPr>
      </w:pPr>
      <w:r w:rsidRPr="00D8484C">
        <w:rPr>
          <w:rFonts w:ascii="方正小标宋_GBK" w:eastAsia="方正小标宋_GBK" w:hAnsi="宋体" w:cs="宋体" w:hint="eastAsia"/>
          <w:color w:val="000000"/>
          <w:kern w:val="0"/>
          <w:sz w:val="44"/>
          <w:szCs w:val="44"/>
          <w:shd w:val="clear" w:color="auto" w:fill="FFFFFF"/>
        </w:rPr>
        <w:t> </w:t>
      </w:r>
    </w:p>
    <w:p w14:paraId="45B42427" w14:textId="77777777" w:rsidR="00D8484C" w:rsidRPr="00D8484C" w:rsidRDefault="00D8484C" w:rsidP="00D8484C">
      <w:pPr>
        <w:widowControl/>
        <w:shd w:val="clear" w:color="auto" w:fill="FFFFFF"/>
        <w:wordWrap w:val="0"/>
        <w:spacing w:line="560" w:lineRule="atLeast"/>
        <w:jc w:val="center"/>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目</w:t>
      </w:r>
      <w:r w:rsidRPr="00D8484C">
        <w:rPr>
          <w:rFonts w:ascii="楷体_GB2312" w:eastAsia="楷体_GB2312" w:hAnsi="宋体" w:cs="宋体" w:hint="eastAsia"/>
          <w:color w:val="000000"/>
          <w:kern w:val="0"/>
          <w:sz w:val="32"/>
          <w:szCs w:val="32"/>
        </w:rPr>
        <w:t>   </w:t>
      </w:r>
      <w:r w:rsidRPr="00D8484C">
        <w:rPr>
          <w:rFonts w:ascii="宋体" w:eastAsia="宋体" w:hAnsi="宋体" w:cs="宋体" w:hint="eastAsia"/>
          <w:color w:val="000000"/>
          <w:kern w:val="0"/>
          <w:sz w:val="24"/>
          <w:szCs w:val="24"/>
        </w:rPr>
        <w:t>录</w:t>
      </w:r>
    </w:p>
    <w:p w14:paraId="2ADBC0C3"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第一章</w:t>
      </w:r>
      <w:r w:rsidRPr="00D8484C">
        <w:rPr>
          <w:rFonts w:ascii="方正书宋_GBK" w:eastAsia="方正书宋_GBK" w:hAnsi="宋体" w:cs="宋体" w:hint="eastAsia"/>
          <w:color w:val="000000"/>
          <w:kern w:val="0"/>
          <w:sz w:val="32"/>
          <w:szCs w:val="32"/>
        </w:rPr>
        <w:t>  </w:t>
      </w:r>
      <w:r w:rsidRPr="00D8484C">
        <w:rPr>
          <w:rFonts w:ascii="宋体" w:eastAsia="宋体" w:hAnsi="宋体" w:cs="宋体" w:hint="eastAsia"/>
          <w:color w:val="000000"/>
          <w:kern w:val="0"/>
          <w:sz w:val="24"/>
          <w:szCs w:val="24"/>
        </w:rPr>
        <w:t>总则</w:t>
      </w:r>
    </w:p>
    <w:p w14:paraId="4B7ED573"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第二章</w:t>
      </w:r>
      <w:r w:rsidRPr="00D8484C">
        <w:rPr>
          <w:rFonts w:ascii="方正书宋_GBK" w:eastAsia="方正书宋_GBK" w:hAnsi="宋体" w:cs="宋体" w:hint="eastAsia"/>
          <w:color w:val="000000"/>
          <w:kern w:val="0"/>
          <w:sz w:val="32"/>
          <w:szCs w:val="32"/>
        </w:rPr>
        <w:t>  </w:t>
      </w:r>
      <w:r w:rsidRPr="00D8484C">
        <w:rPr>
          <w:rFonts w:ascii="宋体" w:eastAsia="宋体" w:hAnsi="宋体" w:cs="宋体" w:hint="eastAsia"/>
          <w:color w:val="000000"/>
          <w:kern w:val="0"/>
          <w:sz w:val="24"/>
          <w:szCs w:val="24"/>
        </w:rPr>
        <w:t>动物疫病的预防与控制</w:t>
      </w:r>
    </w:p>
    <w:p w14:paraId="5BCF8A19"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第三章</w:t>
      </w:r>
      <w:r w:rsidRPr="00D8484C">
        <w:rPr>
          <w:rFonts w:ascii="方正书宋_GBK" w:eastAsia="方正书宋_GBK" w:hAnsi="宋体" w:cs="宋体" w:hint="eastAsia"/>
          <w:color w:val="000000"/>
          <w:kern w:val="0"/>
          <w:sz w:val="32"/>
          <w:szCs w:val="32"/>
        </w:rPr>
        <w:t>  </w:t>
      </w:r>
      <w:r w:rsidRPr="00D8484C">
        <w:rPr>
          <w:rFonts w:ascii="宋体" w:eastAsia="宋体" w:hAnsi="宋体" w:cs="宋体" w:hint="eastAsia"/>
          <w:color w:val="000000"/>
          <w:kern w:val="0"/>
          <w:sz w:val="24"/>
          <w:szCs w:val="24"/>
        </w:rPr>
        <w:t>动物和动物产品的检疫</w:t>
      </w:r>
    </w:p>
    <w:p w14:paraId="43F1BB72"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第四章</w:t>
      </w:r>
      <w:r w:rsidRPr="00D8484C">
        <w:rPr>
          <w:rFonts w:ascii="方正书宋_GBK" w:eastAsia="方正书宋_GBK" w:hAnsi="宋体" w:cs="宋体" w:hint="eastAsia"/>
          <w:color w:val="000000"/>
          <w:kern w:val="0"/>
          <w:sz w:val="32"/>
          <w:szCs w:val="32"/>
        </w:rPr>
        <w:t>  </w:t>
      </w:r>
      <w:r w:rsidRPr="00D8484C">
        <w:rPr>
          <w:rFonts w:ascii="宋体" w:eastAsia="宋体" w:hAnsi="宋体" w:cs="宋体" w:hint="eastAsia"/>
          <w:color w:val="000000"/>
          <w:kern w:val="0"/>
          <w:sz w:val="24"/>
          <w:szCs w:val="24"/>
        </w:rPr>
        <w:t>病死动物和病害动物产品的无害化处理</w:t>
      </w:r>
    </w:p>
    <w:p w14:paraId="2BB0E081"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第五章</w:t>
      </w:r>
      <w:r w:rsidRPr="00D8484C">
        <w:rPr>
          <w:rFonts w:ascii="方正书宋_GBK" w:eastAsia="方正书宋_GBK" w:hAnsi="宋体" w:cs="宋体" w:hint="eastAsia"/>
          <w:color w:val="000000"/>
          <w:kern w:val="0"/>
          <w:sz w:val="32"/>
          <w:szCs w:val="32"/>
        </w:rPr>
        <w:t>  </w:t>
      </w:r>
      <w:r w:rsidRPr="00D8484C">
        <w:rPr>
          <w:rFonts w:ascii="宋体" w:eastAsia="宋体" w:hAnsi="宋体" w:cs="宋体" w:hint="eastAsia"/>
          <w:color w:val="000000"/>
          <w:kern w:val="0"/>
          <w:sz w:val="24"/>
          <w:szCs w:val="24"/>
        </w:rPr>
        <w:t>动物诊疗</w:t>
      </w:r>
    </w:p>
    <w:p w14:paraId="3BA17168"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第六章</w:t>
      </w:r>
      <w:r w:rsidRPr="00D8484C">
        <w:rPr>
          <w:rFonts w:ascii="方正书宋_GBK" w:eastAsia="方正书宋_GBK" w:hAnsi="宋体" w:cs="宋体" w:hint="eastAsia"/>
          <w:color w:val="000000"/>
          <w:kern w:val="0"/>
          <w:sz w:val="32"/>
          <w:szCs w:val="32"/>
        </w:rPr>
        <w:t>  </w:t>
      </w:r>
      <w:r w:rsidRPr="00D8484C">
        <w:rPr>
          <w:rFonts w:ascii="宋体" w:eastAsia="宋体" w:hAnsi="宋体" w:cs="宋体" w:hint="eastAsia"/>
          <w:color w:val="000000"/>
          <w:kern w:val="0"/>
          <w:sz w:val="24"/>
          <w:szCs w:val="24"/>
        </w:rPr>
        <w:t>法律责任</w:t>
      </w:r>
    </w:p>
    <w:p w14:paraId="3B8873A1"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第七章</w:t>
      </w:r>
      <w:r w:rsidRPr="00D8484C">
        <w:rPr>
          <w:rFonts w:ascii="方正书宋_GBK" w:eastAsia="方正书宋_GBK" w:hAnsi="宋体" w:cs="宋体" w:hint="eastAsia"/>
          <w:color w:val="000000"/>
          <w:kern w:val="0"/>
          <w:sz w:val="32"/>
          <w:szCs w:val="32"/>
        </w:rPr>
        <w:t>  </w:t>
      </w:r>
      <w:r w:rsidRPr="00D8484C">
        <w:rPr>
          <w:rFonts w:ascii="宋体" w:eastAsia="宋体" w:hAnsi="宋体" w:cs="宋体" w:hint="eastAsia"/>
          <w:color w:val="000000"/>
          <w:kern w:val="0"/>
          <w:sz w:val="24"/>
          <w:szCs w:val="24"/>
        </w:rPr>
        <w:t>附则</w:t>
      </w:r>
    </w:p>
    <w:p w14:paraId="7CC8C0F3" w14:textId="77777777" w:rsidR="00D8484C" w:rsidRPr="00D8484C" w:rsidRDefault="00D8484C" w:rsidP="00D8484C">
      <w:pPr>
        <w:widowControl/>
        <w:shd w:val="clear" w:color="auto" w:fill="FFFFFF"/>
        <w:wordWrap w:val="0"/>
        <w:spacing w:line="560" w:lineRule="atLeast"/>
        <w:jc w:val="center"/>
        <w:rPr>
          <w:rFonts w:ascii="宋体" w:eastAsia="宋体" w:hAnsi="宋体" w:cs="宋体"/>
          <w:color w:val="333333"/>
          <w:kern w:val="0"/>
          <w:sz w:val="24"/>
          <w:szCs w:val="24"/>
        </w:rPr>
      </w:pPr>
      <w:r w:rsidRPr="00D8484C">
        <w:rPr>
          <w:rFonts w:ascii="方正小标宋_GBK" w:eastAsia="方正小标宋_GBK" w:hAnsi="宋体" w:cs="宋体" w:hint="eastAsia"/>
          <w:color w:val="000000"/>
          <w:kern w:val="0"/>
          <w:sz w:val="32"/>
          <w:szCs w:val="32"/>
        </w:rPr>
        <w:t> </w:t>
      </w:r>
    </w:p>
    <w:p w14:paraId="3C9F25D6" w14:textId="77777777" w:rsidR="00D8484C" w:rsidRPr="00D8484C" w:rsidRDefault="00D8484C" w:rsidP="00D8484C">
      <w:pPr>
        <w:widowControl/>
        <w:shd w:val="clear" w:color="auto" w:fill="FFFFFF"/>
        <w:wordWrap w:val="0"/>
        <w:spacing w:line="560"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第一章</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总</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则</w:t>
      </w:r>
    </w:p>
    <w:p w14:paraId="407B4A73"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第一条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为了加强对动物防疫活动的管理，预防、控制、净化、消灭动物疫病，促进养殖业发展，防控人畜共患传染病，保障公共卫生安全和人体健康，根据《中华人民共和国动物防疫法》等有关法律、行政法规，结合本省实际，制定本条例。</w:t>
      </w:r>
    </w:p>
    <w:p w14:paraId="54E3F119"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本条例适用于本省行政区域内的动物防疫及其监督管理活动。</w:t>
      </w:r>
    </w:p>
    <w:p w14:paraId="47A52552"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动物防疫实行预防为主，预防与控制、净化、消灭相结合的方针。</w:t>
      </w:r>
    </w:p>
    <w:p w14:paraId="2595A171"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lastRenderedPageBreak/>
        <w:t>第四条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县级以上地方人民政府统一领导动物防疫工作，将动物防疫纳入国民经济和社会发展规划以及年度计划，建立健全动物防疫体系，加强动物防疫基础设施和机构队伍建设，动物防疫所需经费纳入本级财政预算。</w:t>
      </w:r>
    </w:p>
    <w:p w14:paraId="785F400B"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乡（镇）人民政府、街道办事处应当落实动物防疫责任，组织群众做好本辖区的动物疫病预防与控制工作，村（居）民委员会予以协助。</w:t>
      </w:r>
    </w:p>
    <w:p w14:paraId="7928D796"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第五条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县级以上地方人民政府农业农村和渔业主管部门（以下统称动物防疫主管部门）按照各自职责负责本行政区域内的动物防疫工作。</w:t>
      </w:r>
    </w:p>
    <w:p w14:paraId="2EE37D6B"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县级以上地方人民政府发展改革、公安、财政、卫生健康、交通运输、林业、城市管理、商务、市场监督管理等主管部门以及海关在各自职责范围内做好动物防疫工作。</w:t>
      </w:r>
    </w:p>
    <w:p w14:paraId="684F494F"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第六条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县级以上地方人民政府应当制定并组织实施动物疫病防治规划，将人畜共患传染病防治纳入公共卫生体系，同步规划、同步建设、同步实施。</w:t>
      </w:r>
    </w:p>
    <w:p w14:paraId="44BC5AED"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县级以上地方人民政府卫生健康、农业农村、野生动物保护等主管部门以及海关应当建立动物防疫协作机制，加强人畜共患传染病防控，以及野生动物疫源疫病监测和外来动物疫病防范等方面合作和信息共享。</w:t>
      </w:r>
    </w:p>
    <w:p w14:paraId="08F92046"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县级以上地方人民政府卫生健康主管部门应当加强对动物和动物产品生产经营等活动从业人员的健康监测，预防人畜共患传染病的传播。</w:t>
      </w:r>
    </w:p>
    <w:p w14:paraId="5857DFAA"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第七条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鼓励保险机构开发动物疫病保险产品。</w:t>
      </w:r>
    </w:p>
    <w:p w14:paraId="3E2C6C7A"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县级以上地方人民政府可以通过财政补贴等方式，支持饲养动物的单位和个人参加动物疫病保险。</w:t>
      </w:r>
    </w:p>
    <w:p w14:paraId="494A577E"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第八条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县级以上地方人民政府动物防疫主管部门、乡（镇）人民政府、街道办事处可以通过政府购买服务方式，开展动物防疫工作。</w:t>
      </w:r>
    </w:p>
    <w:p w14:paraId="440B4814"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鼓励兽医社会化服务组织发展，支持兽医社会化服务组织通过承接政府购买服务等方式参与提供动物防疫公益性服务。</w:t>
      </w:r>
    </w:p>
    <w:p w14:paraId="7FD8EFCB"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lastRenderedPageBreak/>
        <w:t>第九条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省人民政府动物防疫主管部门应当建立健全动物防疫数字化系统，完善动物检疫、病死畜禽无害化处理等数字化平台建设，实现畜禽从养殖到屠宰全流程监管。</w:t>
      </w:r>
      <w:r w:rsidRPr="00D8484C">
        <w:rPr>
          <w:rFonts w:ascii="仿宋_GB2312" w:eastAsia="仿宋_GB2312" w:hAnsi="宋体" w:cs="宋体" w:hint="eastAsia"/>
          <w:color w:val="000000"/>
          <w:kern w:val="0"/>
          <w:sz w:val="32"/>
          <w:szCs w:val="32"/>
        </w:rPr>
        <w:t> </w:t>
      </w:r>
    </w:p>
    <w:p w14:paraId="4074385B"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县级以上地方人民政府及其有关部门应当鼓励和支持开展动物疫病科学研究与交流合作，加强科技人才培养，推广科学研究成果，应用信息化手段开展动物防疫工作，在养殖、防疫、检疫、屠宰、流通、无害化处理等方面实现信息共享，建立可追溯体系，提高动物疫病防治的科学技术水平。</w:t>
      </w:r>
    </w:p>
    <w:p w14:paraId="45A2CD68" w14:textId="77777777" w:rsidR="00D8484C" w:rsidRPr="00D8484C" w:rsidRDefault="00D8484C" w:rsidP="00D8484C">
      <w:pPr>
        <w:widowControl/>
        <w:shd w:val="clear" w:color="auto" w:fill="FFFFFF"/>
        <w:wordWrap w:val="0"/>
        <w:spacing w:line="560"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第二章</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动物疫病的预防与控制</w:t>
      </w:r>
    </w:p>
    <w:p w14:paraId="11AEDA2A"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省人民政府动物防疫主管部门应当制定全省动物疫病强制免疫计划。</w:t>
      </w:r>
    </w:p>
    <w:p w14:paraId="7BF42664" w14:textId="77777777" w:rsidR="00D8484C" w:rsidRPr="00D8484C" w:rsidRDefault="00D8484C" w:rsidP="00D8484C">
      <w:pPr>
        <w:widowControl/>
        <w:shd w:val="clear" w:color="auto" w:fill="FFFFFF"/>
        <w:wordWrap w:val="0"/>
        <w:spacing w:line="560" w:lineRule="atLeast"/>
        <w:ind w:firstLine="616"/>
        <w:textAlignment w:val="top"/>
        <w:rPr>
          <w:rFonts w:ascii="宋体" w:eastAsia="宋体" w:hAnsi="宋体" w:cs="宋体"/>
          <w:color w:val="333333"/>
          <w:kern w:val="0"/>
          <w:sz w:val="24"/>
          <w:szCs w:val="24"/>
        </w:rPr>
      </w:pPr>
      <w:r w:rsidRPr="00D8484C">
        <w:rPr>
          <w:rFonts w:ascii="宋体" w:eastAsia="宋体" w:hAnsi="宋体" w:cs="宋体" w:hint="eastAsia"/>
          <w:color w:val="000000"/>
          <w:spacing w:val="-6"/>
          <w:kern w:val="0"/>
          <w:sz w:val="24"/>
          <w:szCs w:val="24"/>
        </w:rPr>
        <w:t>设区的市、县（市、区）人民政府动物防疫主管部门，应当根据省人民政府动物防疫主管部门制定</w:t>
      </w:r>
      <w:r w:rsidRPr="00D8484C">
        <w:rPr>
          <w:rFonts w:ascii="宋体" w:eastAsia="宋体" w:hAnsi="宋体" w:cs="宋体" w:hint="eastAsia"/>
          <w:color w:val="000000"/>
          <w:kern w:val="0"/>
          <w:sz w:val="24"/>
          <w:szCs w:val="24"/>
        </w:rPr>
        <w:t>的动物疫病强制免</w:t>
      </w:r>
      <w:r w:rsidRPr="00D8484C">
        <w:rPr>
          <w:rFonts w:ascii="宋体" w:eastAsia="宋体" w:hAnsi="宋体" w:cs="宋体" w:hint="eastAsia"/>
          <w:color w:val="000000"/>
          <w:spacing w:val="-6"/>
          <w:kern w:val="0"/>
          <w:sz w:val="24"/>
          <w:szCs w:val="24"/>
        </w:rPr>
        <w:t>疫计划，制定本行政区域强制免疫实施方案，并组织实施。</w:t>
      </w:r>
    </w:p>
    <w:p w14:paraId="6071BFD0"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第十一条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县级以上地方人民政府动物防疫主管部门应当依法加强对国家强制免疫用生物制品的生产、经营、采购、储存、分发和使用的管理。</w:t>
      </w:r>
    </w:p>
    <w:p w14:paraId="06D88793"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养殖场（户）、动物诊疗机构等使用者采购的或者经政府分发获得的国家强制免疫用生物制</w:t>
      </w:r>
      <w:r w:rsidRPr="00D8484C">
        <w:rPr>
          <w:rFonts w:ascii="宋体" w:eastAsia="宋体" w:hAnsi="宋体" w:cs="宋体" w:hint="eastAsia"/>
          <w:color w:val="000000"/>
          <w:spacing w:val="-6"/>
          <w:kern w:val="0"/>
          <w:sz w:val="24"/>
          <w:szCs w:val="24"/>
        </w:rPr>
        <w:t>品只限自用，不得转手销售。</w:t>
      </w:r>
    </w:p>
    <w:p w14:paraId="3BD5D34A"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第十二条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县级以上地方人民政府动物防疫主管部门应当建立健全动物疫病强制免疫评估制度。</w:t>
      </w:r>
    </w:p>
    <w:p w14:paraId="1517A344"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免疫密度和免疫质量未达到本省规定要求的，设区的市、县（市、区）人民政府动物防疫主管部门和乡（镇）人民政府、街道办事处应当按照职责采取相应的整改措施，饲养动物的单位和个人应当按照规定落实防疫主体责任。</w:t>
      </w:r>
    </w:p>
    <w:p w14:paraId="46DF11F6"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第十三条</w:t>
      </w:r>
      <w:r w:rsidRPr="00D8484C">
        <w:rPr>
          <w:rFonts w:ascii="Calibri" w:eastAsia="黑体" w:hAnsi="Calibri" w:cs="Calibri"/>
          <w:color w:val="000000"/>
          <w:kern w:val="0"/>
          <w:sz w:val="32"/>
          <w:szCs w:val="32"/>
        </w:rPr>
        <w:t> </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spacing w:val="-6"/>
          <w:kern w:val="0"/>
          <w:sz w:val="24"/>
          <w:szCs w:val="24"/>
        </w:rPr>
        <w:t>省人民政府制定并组织实施全省无规定动物疫病区建设方案，确定建设范围和实施区域化管理的病种。设区的市、县（市、区）人民政府应当根据全</w:t>
      </w:r>
      <w:r w:rsidRPr="00D8484C">
        <w:rPr>
          <w:rFonts w:ascii="宋体" w:eastAsia="宋体" w:hAnsi="宋体" w:cs="宋体" w:hint="eastAsia"/>
          <w:color w:val="000000"/>
          <w:spacing w:val="-6"/>
          <w:kern w:val="0"/>
          <w:sz w:val="24"/>
          <w:szCs w:val="24"/>
        </w:rPr>
        <w:lastRenderedPageBreak/>
        <w:t>省无规定动物疫病区建设方案，制定本行政区域的无规定动物疫病区建设方案并组织实施。</w:t>
      </w:r>
    </w:p>
    <w:p w14:paraId="76C0F549"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县级以上地方人民政府应当支持动物饲养场建设无规定动物疫病生物安全隔离区。</w:t>
      </w:r>
    </w:p>
    <w:p w14:paraId="638EF970"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第十四条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县级以上地方人民政府应当引导规模化养殖，制定并组织实施本行政区域的动物疫病净化、消灭计划，支持饲养动物的单位和个人开展动物疫病净化，按照本省有关规定对重点动物疫病净化费用给予补助。</w:t>
      </w:r>
    </w:p>
    <w:p w14:paraId="7F042AB4"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种用、乳用动物养殖场应当建立动物疫病净化制度，按照有关规定要求开展重点动物疫病净化工作。</w:t>
      </w:r>
    </w:p>
    <w:p w14:paraId="5DE7469B" w14:textId="77777777" w:rsidR="00D8484C" w:rsidRPr="00D8484C" w:rsidRDefault="00D8484C" w:rsidP="00D8484C">
      <w:pPr>
        <w:widowControl/>
        <w:shd w:val="clear" w:color="auto" w:fill="FFFFFF"/>
        <w:wordWrap w:val="0"/>
        <w:spacing w:line="560" w:lineRule="atLeast"/>
        <w:rPr>
          <w:rFonts w:ascii="宋体" w:eastAsia="宋体" w:hAnsi="宋体" w:cs="宋体"/>
          <w:color w:val="333333"/>
          <w:kern w:val="0"/>
          <w:sz w:val="24"/>
          <w:szCs w:val="24"/>
        </w:rPr>
      </w:pPr>
      <w:r w:rsidRPr="00D8484C">
        <w:rPr>
          <w:rFonts w:ascii="仿宋_GB2312" w:eastAsia="仿宋_GB2312" w:hAnsi="宋体" w:cs="宋体" w:hint="eastAsia"/>
          <w:color w:val="000000"/>
          <w:kern w:val="0"/>
          <w:sz w:val="32"/>
          <w:szCs w:val="32"/>
        </w:rPr>
        <w:t>   </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第十五条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种用、乳用动物禁止实施布鲁氏菌病免疫。动物实施布鲁氏菌病免疫的，不得作为种畜使用，所产生鲜乳不得作为液态奶生产原料。</w:t>
      </w:r>
    </w:p>
    <w:p w14:paraId="0C8C9508"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第十六条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活禽交易场所（交易点）应当建立健全清洗、消毒、休市制度，按照国家有关活禽交易市场管理规定对交易场所（交易点）进行每日清洗、每周消毒，并根据疫情防控需要进行休市。</w:t>
      </w:r>
    </w:p>
    <w:p w14:paraId="083E1CE4" w14:textId="77777777" w:rsidR="00D8484C" w:rsidRPr="00A8370B" w:rsidRDefault="00D8484C" w:rsidP="00D8484C">
      <w:pPr>
        <w:widowControl/>
        <w:shd w:val="clear" w:color="auto" w:fill="FFFFFF"/>
        <w:wordWrap w:val="0"/>
        <w:spacing w:line="560" w:lineRule="atLeast"/>
        <w:ind w:firstLine="640"/>
        <w:textAlignment w:val="top"/>
        <w:rPr>
          <w:rFonts w:ascii="宋体" w:eastAsia="宋体" w:hAnsi="宋体" w:cs="宋体"/>
          <w:color w:val="000000"/>
          <w:kern w:val="0"/>
          <w:sz w:val="24"/>
          <w:szCs w:val="24"/>
        </w:rPr>
      </w:pPr>
      <w:r w:rsidRPr="00D8484C">
        <w:rPr>
          <w:rFonts w:ascii="宋体" w:eastAsia="宋体" w:hAnsi="宋体" w:cs="宋体" w:hint="eastAsia"/>
          <w:color w:val="000000"/>
          <w:kern w:val="0"/>
          <w:sz w:val="24"/>
          <w:szCs w:val="24"/>
        </w:rPr>
        <w:t>活畜交易场所</w:t>
      </w:r>
      <w:r w:rsidRPr="00A8370B">
        <w:rPr>
          <w:rFonts w:ascii="宋体" w:eastAsia="宋体" w:hAnsi="宋体" w:cs="宋体" w:hint="eastAsia"/>
          <w:color w:val="000000"/>
          <w:kern w:val="0"/>
          <w:sz w:val="24"/>
          <w:szCs w:val="24"/>
        </w:rPr>
        <w:t>(交易点)依照执行。</w:t>
      </w:r>
    </w:p>
    <w:p w14:paraId="51E70728"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第十七条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spacing w:val="-6"/>
          <w:kern w:val="0"/>
          <w:sz w:val="24"/>
          <w:szCs w:val="24"/>
        </w:rPr>
        <w:t>重大动物疫情发生后，所在地县级以上地方人民政府应当启动应急预案，采取封锁、隔离、扑杀、销毁、消毒、无害化处理、紧急免疫接种等应急处理措施，迅速扑灭疫情，并做好肉食品供应、动物和动物产品市场监管、社会治安维护等工作。</w:t>
      </w:r>
    </w:p>
    <w:p w14:paraId="270A6971"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乡（镇）人民政府、街道办事处应当根据重大动物疫情应急处置要求，落实无害化处理场地，协助做好疫情信息的收集、报告和各项应急处置工作。</w:t>
      </w:r>
    </w:p>
    <w:p w14:paraId="557BDAB5"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第十八条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spacing w:val="-6"/>
          <w:kern w:val="0"/>
          <w:sz w:val="24"/>
          <w:szCs w:val="24"/>
        </w:rPr>
        <w:t>疫点、疫区和受威胁区内有关单位和个人，应当遵守县级以上地方人民政府及其动物防疫主管部门依法作出的有关控制动物疫病的规定。</w:t>
      </w:r>
    </w:p>
    <w:p w14:paraId="0B82369C"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lastRenderedPageBreak/>
        <w:t>第十九条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对在动物疫病预防、控制、净化、消灭过程中强制扑杀的动物、销毁的动物产品和相关物品，县级以上地方人民政府应当依法给予补偿。</w:t>
      </w:r>
    </w:p>
    <w:p w14:paraId="1D75C4E2" w14:textId="77777777" w:rsidR="00D8484C" w:rsidRPr="00267E06" w:rsidRDefault="00D8484C" w:rsidP="00D8484C">
      <w:pPr>
        <w:widowControl/>
        <w:shd w:val="clear" w:color="auto" w:fill="FFFFFF"/>
        <w:wordWrap w:val="0"/>
        <w:spacing w:line="560" w:lineRule="atLeast"/>
        <w:ind w:firstLine="620"/>
        <w:textAlignment w:val="top"/>
        <w:rPr>
          <w:rFonts w:ascii="宋体" w:eastAsia="宋体" w:hAnsi="宋体" w:cs="宋体"/>
          <w:color w:val="FF0000"/>
          <w:kern w:val="0"/>
          <w:sz w:val="24"/>
          <w:szCs w:val="24"/>
        </w:rPr>
      </w:pPr>
      <w:r w:rsidRPr="00267E06">
        <w:rPr>
          <w:rFonts w:ascii="宋体" w:eastAsia="宋体" w:hAnsi="宋体" w:cs="宋体" w:hint="eastAsia"/>
          <w:color w:val="FF0000"/>
          <w:kern w:val="0"/>
          <w:sz w:val="24"/>
          <w:szCs w:val="24"/>
        </w:rPr>
        <w:t>第二十条</w:t>
      </w:r>
      <w:r w:rsidRPr="00267E06">
        <w:rPr>
          <w:rFonts w:ascii="Calibri" w:eastAsia="黑体" w:hAnsi="Calibri" w:cs="Calibri"/>
          <w:color w:val="FF0000"/>
          <w:kern w:val="0"/>
          <w:sz w:val="31"/>
          <w:szCs w:val="31"/>
        </w:rPr>
        <w:t>  </w:t>
      </w:r>
      <w:r w:rsidRPr="00267E06">
        <w:rPr>
          <w:rFonts w:ascii="宋体" w:eastAsia="宋体" w:hAnsi="宋体" w:cs="宋体" w:hint="eastAsia"/>
          <w:color w:val="FF0000"/>
          <w:kern w:val="0"/>
          <w:sz w:val="24"/>
          <w:szCs w:val="24"/>
        </w:rPr>
        <w:t>设区的市应当制定散养畜禽管理制度，建立散养畜禽数字化登记管理系统，做好本辖区散养畜禽防疫管理工作。</w:t>
      </w:r>
    </w:p>
    <w:p w14:paraId="4A0ECD25"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第二十一条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县（市、区）人民政府动物防疫主管部门应当合理设置并公布动物狂犬病免疫点，加强监督管理。</w:t>
      </w:r>
    </w:p>
    <w:p w14:paraId="34E0E360"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饲养犬只的单位和个人不得随意弃养。携带犬只出户的，应当及时清除犬只排泄的粪便，防止疫病传播。</w:t>
      </w:r>
    </w:p>
    <w:p w14:paraId="327FB909" w14:textId="77777777" w:rsidR="00D8484C" w:rsidRPr="00267E06" w:rsidRDefault="00D8484C" w:rsidP="00D8484C">
      <w:pPr>
        <w:widowControl/>
        <w:shd w:val="clear" w:color="auto" w:fill="FFFFFF"/>
        <w:wordWrap w:val="0"/>
        <w:spacing w:line="560" w:lineRule="atLeast"/>
        <w:ind w:firstLine="640"/>
        <w:textAlignment w:val="top"/>
        <w:rPr>
          <w:rFonts w:ascii="宋体" w:eastAsia="宋体" w:hAnsi="宋体" w:cs="宋体"/>
          <w:color w:val="FF0000"/>
          <w:kern w:val="0"/>
          <w:sz w:val="24"/>
          <w:szCs w:val="24"/>
        </w:rPr>
      </w:pPr>
      <w:r w:rsidRPr="00267E06">
        <w:rPr>
          <w:rFonts w:ascii="宋体" w:eastAsia="宋体" w:hAnsi="宋体" w:cs="宋体" w:hint="eastAsia"/>
          <w:color w:val="FF0000"/>
          <w:kern w:val="0"/>
          <w:sz w:val="24"/>
          <w:szCs w:val="24"/>
        </w:rPr>
        <w:t>设区的市应当根据当地实际情况制定犬只管理办法，确定登记、管理部门，建立数字化登记管理系统，做好本辖区犬只防疫管理工作。</w:t>
      </w:r>
    </w:p>
    <w:p w14:paraId="68EA5BF8" w14:textId="77777777" w:rsidR="00D8484C" w:rsidRPr="00D8484C" w:rsidRDefault="00D8484C" w:rsidP="00D8484C">
      <w:pPr>
        <w:widowControl/>
        <w:shd w:val="clear" w:color="auto" w:fill="FFFFFF"/>
        <w:wordWrap w:val="0"/>
        <w:spacing w:line="560"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第三章</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动物和动物产品的检疫</w:t>
      </w:r>
    </w:p>
    <w:p w14:paraId="01D720CC"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第二十二条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承担动物卫生监督职责的机构可以根据动物检疫工作需要，聘用兽医专业人员协助官方兽医实施动物和动物产品检疫技术工作，所需经费由同级财政承担。</w:t>
      </w:r>
    </w:p>
    <w:p w14:paraId="3511F492"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第二十三条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从事动物和动物产品经营的单位、个人或者承运人应当按照动物检疫合格证明填写的目的地运输，中途不得销售、更换动物和动物产品。</w:t>
      </w:r>
    </w:p>
    <w:p w14:paraId="0CE0634E"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第二十四条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从省外调入畜禽和畜禽产品的单位、个人以及车辆应当至少提前一个工作日，通过省动物检疫合格证明电子出证平台或者省动物防疫主管部门确定的其他方式进行登记。</w:t>
      </w:r>
    </w:p>
    <w:p w14:paraId="174E5EC9"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在重大动物疫病防控应急期间，饲养、经营动物的单位和个人跨县（市、区）调入与该类动物疫病传播相关动物和动物产品的，应当至少提前一个工作日，通过省动物检疫合格证明电子出证平台或者省动物防疫主管部门确定的其他方式进行登记。</w:t>
      </w:r>
    </w:p>
    <w:p w14:paraId="34970862"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lastRenderedPageBreak/>
        <w:t>从省外调入畜禽或者在重大动物疫病防控应急期间跨县（市、区）调入与该类动物疫病传播相关动物用于饲养的，应当在到达目的地后二十四小时内，通过省动物检疫合格证明电子出证平台或者省动物防疫主管部门确定的其他方式，向调入地县（市、区）承担动物卫生监督职责的机构报告。</w:t>
      </w:r>
    </w:p>
    <w:p w14:paraId="21295665"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第二十五条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通过道路运输进入本省的动物和动物产品，应当经省人民政府设立的指定通道进入，并主动接受指定通道检查站的监督检查。</w:t>
      </w:r>
    </w:p>
    <w:p w14:paraId="49E41C69"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县级人民政府应当为指定通道检查站配备与工作需要相适应的监督执法人员，提供必要的工作条件和工作经费。</w:t>
      </w:r>
    </w:p>
    <w:p w14:paraId="4F22B911"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第二十六条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从事动物经营的单位和个人，应当建立包括动物产地、饲养者、检疫证明编号、购销日期和数量等事项的档案，确保动物信息可追溯。</w:t>
      </w:r>
    </w:p>
    <w:p w14:paraId="0222A19D"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从事动物运输的单位和个人，应当遵守指定通道制度，妥善保存行程路线和托运人提供的动物名称、检疫证明编号、数量等信息，并按照有关规定向所在地县级人民政府动物防疫主管部门备案。</w:t>
      </w:r>
    </w:p>
    <w:p w14:paraId="059EAEC0"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第二十七条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为控制动物疫病，县级人民政府动物防疫主管部门在依法设立的现有检查站或者高速收费站执行监督检查任务，公安、交通运输等部门应当提供便利条件。必要时，经省人民政府批准，可以设立临时性的动物防疫检查站，执行监督检查任务。</w:t>
      </w:r>
    </w:p>
    <w:p w14:paraId="33A29D65"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临时性动物防疫检查站执行监督检查任务的具体时间，由省人民政府动物防疫主管部门根据动物疫情实际情况确定。</w:t>
      </w:r>
    </w:p>
    <w:p w14:paraId="007D0B85"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第二十八条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屠宰厂（场、点）应当遵守以下规定：</w:t>
      </w:r>
      <w:r w:rsidRPr="00D8484C">
        <w:rPr>
          <w:rFonts w:ascii="仿宋_GB2312" w:eastAsia="仿宋_GB2312" w:hAnsi="宋体" w:cs="宋体" w:hint="eastAsia"/>
          <w:color w:val="000000"/>
          <w:kern w:val="0"/>
          <w:sz w:val="32"/>
          <w:szCs w:val="32"/>
        </w:rPr>
        <w:t>     </w:t>
      </w:r>
    </w:p>
    <w:p w14:paraId="582F9DC2"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（一）建立动物进厂（场、点）检查登记制度，经查证验物合格的，方可进厂（场、点），进厂（场、点）动物按照种类、产地等分类送入待宰圈，不同货主、不同批次的动物不得混群；</w:t>
      </w:r>
    </w:p>
    <w:p w14:paraId="35C3F2A8"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（二）提供动物检疫申报点专用场所，配置与屠宰规模相适应的官方兽医检疫室和检疫操作台等设施设备；</w:t>
      </w:r>
    </w:p>
    <w:p w14:paraId="3940F631"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lastRenderedPageBreak/>
        <w:t>（三）</w:t>
      </w:r>
      <w:r w:rsidRPr="00D8484C">
        <w:rPr>
          <w:rFonts w:ascii="宋体" w:eastAsia="宋体" w:hAnsi="宋体" w:cs="宋体" w:hint="eastAsia"/>
          <w:color w:val="000000"/>
          <w:spacing w:val="-6"/>
          <w:kern w:val="0"/>
          <w:sz w:val="24"/>
          <w:szCs w:val="24"/>
        </w:rPr>
        <w:t>回收畜禽标识并交承担动物卫生监督职责的机构处置；</w:t>
      </w:r>
    </w:p>
    <w:p w14:paraId="0C318381"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（四）每日对屠宰车间和待宰栏进行清洗、消毒；</w:t>
      </w:r>
    </w:p>
    <w:p w14:paraId="628EAD33"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（五）对检疫不合格的动物和动物产品按照规定进行处理；</w:t>
      </w:r>
    </w:p>
    <w:p w14:paraId="1697665B"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（六）禁止将厂（场、点）内待宰的动物外运出厂（场、点）；</w:t>
      </w:r>
    </w:p>
    <w:p w14:paraId="493E68F4"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（七）建立动物进入、动物产品运出、死亡动物和病害动物产品无害化处理以及消毒等记录台账；</w:t>
      </w:r>
    </w:p>
    <w:p w14:paraId="7A4D45CF" w14:textId="77777777" w:rsidR="00D8484C" w:rsidRPr="00D8484C" w:rsidRDefault="00D8484C" w:rsidP="00D8484C">
      <w:pPr>
        <w:widowControl/>
        <w:shd w:val="clear" w:color="auto" w:fill="FFFFFF"/>
        <w:wordWrap w:val="0"/>
        <w:spacing w:line="54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（八）法律、法规规定的其他事项。</w:t>
      </w:r>
    </w:p>
    <w:p w14:paraId="017C08FE" w14:textId="77777777" w:rsidR="00D8484C" w:rsidRPr="00D8484C" w:rsidRDefault="00D8484C" w:rsidP="00D8484C">
      <w:pPr>
        <w:widowControl/>
        <w:shd w:val="clear" w:color="auto" w:fill="FFFFFF"/>
        <w:wordWrap w:val="0"/>
        <w:spacing w:line="540"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第四章</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病死动物和病害动物产品的无害化处理</w:t>
      </w:r>
    </w:p>
    <w:p w14:paraId="0E71B63E"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第二十九条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下列动物和动物产品应当按照国家规定进行处理，任何单位和个人不得随意处置：</w:t>
      </w:r>
      <w:r w:rsidRPr="00D8484C">
        <w:rPr>
          <w:rFonts w:ascii="仿宋_GB2312" w:eastAsia="仿宋_GB2312" w:hAnsi="宋体" w:cs="宋体" w:hint="eastAsia"/>
          <w:color w:val="000000"/>
          <w:kern w:val="0"/>
          <w:sz w:val="32"/>
          <w:szCs w:val="32"/>
        </w:rPr>
        <w:t>     </w:t>
      </w:r>
    </w:p>
    <w:p w14:paraId="3B692451"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（一）动物饲养、屠宰、经营、隔离以及运输活动中染疫、病死或者死因不明的动物；</w:t>
      </w:r>
    </w:p>
    <w:p w14:paraId="4BA31AD1"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（二）动物产品生产、经营、加工、贮藏以及运输活动中的染疫、病害动物产品；</w:t>
      </w:r>
    </w:p>
    <w:p w14:paraId="4B48AEEC"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（三）动物诊疗、教学科研活动中死亡的动物和产生的病理组织；</w:t>
      </w:r>
    </w:p>
    <w:p w14:paraId="3E6B7C42"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（四）其他可能造成动物疫病传播的动物和动物产品。</w:t>
      </w:r>
    </w:p>
    <w:p w14:paraId="3C8AD8BA"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动物饲养场、动物隔离场所、动物屠宰加工场所以及动物诊疗、教学科研机构，自行无害化处理病死、死因不明动物和病害动物产品的，应当及时、如实做好处理记录并保存，保存期限不少于两年。</w:t>
      </w:r>
    </w:p>
    <w:p w14:paraId="35A92EDD" w14:textId="77777777" w:rsidR="00D8484C" w:rsidRPr="00D8484C" w:rsidRDefault="00D8484C" w:rsidP="00D8484C">
      <w:pPr>
        <w:widowControl/>
        <w:shd w:val="clear" w:color="auto" w:fill="FFFFFF"/>
        <w:wordWrap w:val="0"/>
        <w:spacing w:line="560" w:lineRule="atLeast"/>
        <w:ind w:firstLine="616"/>
        <w:textAlignment w:val="top"/>
        <w:rPr>
          <w:rFonts w:ascii="宋体" w:eastAsia="宋体" w:hAnsi="宋体" w:cs="宋体"/>
          <w:color w:val="333333"/>
          <w:kern w:val="0"/>
          <w:sz w:val="24"/>
          <w:szCs w:val="24"/>
        </w:rPr>
      </w:pPr>
      <w:r w:rsidRPr="00D8484C">
        <w:rPr>
          <w:rFonts w:ascii="宋体" w:eastAsia="宋体" w:hAnsi="宋体" w:cs="宋体" w:hint="eastAsia"/>
          <w:color w:val="000000"/>
          <w:spacing w:val="-6"/>
          <w:kern w:val="0"/>
          <w:sz w:val="24"/>
          <w:szCs w:val="24"/>
        </w:rPr>
        <w:t>动物和动物产品集中无害化处理场所应当将动物尸体、病害动物产品的来源、数量以及无害化处理方式和无害化处理后产品的处置情况，及时、如实、详细记录并保存，保存期限不少于两年。</w:t>
      </w:r>
    </w:p>
    <w:p w14:paraId="36779F37"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lastRenderedPageBreak/>
        <w:t>第三十一条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在无害化处理前，能够按照国家病死以及病害动物处理技术规范，确保相关动物和动物产品不外运、动物疫病不传播扩散的，可以将不同批次动物和动物产品集中进行无害化处理。</w:t>
      </w:r>
    </w:p>
    <w:p w14:paraId="2623CD09"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第三十二条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设区的市、县（市、区）人民政府应当统筹规划建设动物和动物产品无害化处理公共设施，合理布局收集转运点，建立健全无害化处理体系。</w:t>
      </w:r>
    </w:p>
    <w:p w14:paraId="467D93C2"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集中无害化处理场所应当按照国家规定，配备符合动物防疫要求的专用运输车辆。</w:t>
      </w:r>
    </w:p>
    <w:p w14:paraId="5A9A49E0"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鼓励和支持社会资本投资建设集中无害化处理场所。</w:t>
      </w:r>
    </w:p>
    <w:p w14:paraId="6C10EC64"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第三十三条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单位和个人非法生产经营病死、死因不明或者染疫动物和动物产品的，多次或者大量弃置动物尸体的，县级以上地方人民政府及其有关部门应当向社会公布。</w:t>
      </w:r>
    </w:p>
    <w:p w14:paraId="6049A63F" w14:textId="77777777" w:rsidR="00D8484C" w:rsidRPr="00D8484C" w:rsidRDefault="00D8484C" w:rsidP="00D8484C">
      <w:pPr>
        <w:widowControl/>
        <w:shd w:val="clear" w:color="auto" w:fill="FFFFFF"/>
        <w:wordWrap w:val="0"/>
        <w:spacing w:line="560"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第五章</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动物诊疗</w:t>
      </w:r>
    </w:p>
    <w:p w14:paraId="047BAAB6"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第三十四条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从事动物诊疗活动的机构，应当依法取得所在地县级以上地方人民政府动物防疫主管部门核发的动物诊疗许可证，并在规定的诊疗活动范围内开展动物诊疗活动。</w:t>
      </w:r>
    </w:p>
    <w:p w14:paraId="1750CA35"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动物诊疗许可证不得伪造、变造、转让、出租和出借。</w:t>
      </w:r>
    </w:p>
    <w:p w14:paraId="116A0EAD"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第三十五条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动物诊疗机构兼营宠物用品、宠物食品以及宠物美容等与诊疗无关的项目，兼营区域与动物诊疗区域，应当经过物理分隔，分别独立设置。</w:t>
      </w:r>
    </w:p>
    <w:p w14:paraId="2CC1B7E6"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第三十六条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spacing w:val="-6"/>
          <w:kern w:val="0"/>
          <w:sz w:val="24"/>
          <w:szCs w:val="24"/>
        </w:rPr>
        <w:t>依法取得执业兽医资格证书并从事动物诊疗等经营活动的，应当向所在地县级人民政府动物防疫主管部门备案。</w:t>
      </w:r>
    </w:p>
    <w:p w14:paraId="1EB8BD1C"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lastRenderedPageBreak/>
        <w:t>执业兽医开具兽医处方应当经本人诊断，并对诊断结论负责。执业助理兽医师在执业兽医师指导下协助开展兽医执业活动，但不得开具处方、填写诊断书和出具有关证明文件。</w:t>
      </w:r>
    </w:p>
    <w:p w14:paraId="303BAABF"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乡村兽医应当具备国家规定的条件，并向所在地县级人民政府兽医主管部门备案。</w:t>
      </w:r>
    </w:p>
    <w:p w14:paraId="7C12377A"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第三十七条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spacing w:val="-6"/>
          <w:kern w:val="0"/>
          <w:sz w:val="24"/>
          <w:szCs w:val="24"/>
        </w:rPr>
        <w:t>动物诊疗机构从业人员从事动物诊疗活动时，应当佩戴载有本人姓名、照片、执业地点和执业等级等内容的标牌。</w:t>
      </w:r>
    </w:p>
    <w:p w14:paraId="61E73835"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第三十八条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spacing w:val="-6"/>
          <w:kern w:val="0"/>
          <w:sz w:val="24"/>
          <w:szCs w:val="24"/>
        </w:rPr>
        <w:t>从事动物诊疗活动，应当遵守有关动物诊疗的操作技术规范。不得有下列行为：</w:t>
      </w:r>
    </w:p>
    <w:p w14:paraId="7E6430E0"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（一）聘用未取得执业兽医资格证书或者未办理备案的人员从事动物诊疗活动；</w:t>
      </w:r>
    </w:p>
    <w:p w14:paraId="64B40998"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（二）</w:t>
      </w:r>
      <w:r w:rsidRPr="00D8484C">
        <w:rPr>
          <w:rFonts w:ascii="宋体" w:eastAsia="宋体" w:hAnsi="宋体" w:cs="宋体" w:hint="eastAsia"/>
          <w:color w:val="000000"/>
          <w:spacing w:val="-6"/>
          <w:kern w:val="0"/>
          <w:sz w:val="24"/>
          <w:szCs w:val="24"/>
        </w:rPr>
        <w:t>随意抛弃动物的尸体、</w:t>
      </w:r>
      <w:r w:rsidRPr="00D8484C">
        <w:rPr>
          <w:rFonts w:ascii="宋体" w:eastAsia="宋体" w:hAnsi="宋体" w:cs="宋体" w:hint="eastAsia"/>
          <w:color w:val="000000"/>
          <w:kern w:val="0"/>
          <w:sz w:val="24"/>
          <w:szCs w:val="24"/>
        </w:rPr>
        <w:t>器官组织或者诊疗废弃物；</w:t>
      </w:r>
    </w:p>
    <w:p w14:paraId="69E0EEBF"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（三）排放未经无害化处理或者处理不达标的诊疗废水；</w:t>
      </w:r>
    </w:p>
    <w:p w14:paraId="7534101E"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（四）使用假、劣兽药和国家禁用的药品以及其他化合物；</w:t>
      </w:r>
    </w:p>
    <w:p w14:paraId="695B3CF7"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（五）使用假、劣兽医医疗器械；</w:t>
      </w:r>
    </w:p>
    <w:p w14:paraId="6C3EC97D"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（六）销售或者违反国家规定使用精神药品、麻醉药品和兽用生物制品；</w:t>
      </w:r>
    </w:p>
    <w:p w14:paraId="3FC4A09E"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（七）未做诊疗记录；</w:t>
      </w:r>
    </w:p>
    <w:p w14:paraId="7552AFED"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（八）在动物诊疗场所从事动物交易、寄养活动；</w:t>
      </w:r>
    </w:p>
    <w:p w14:paraId="003411D6"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（九）法律、法规禁止的其他行为。</w:t>
      </w:r>
    </w:p>
    <w:p w14:paraId="689CE03C" w14:textId="77777777" w:rsidR="00D8484C" w:rsidRPr="00D8484C" w:rsidRDefault="00D8484C" w:rsidP="00D8484C">
      <w:pPr>
        <w:widowControl/>
        <w:shd w:val="clear" w:color="auto" w:fill="FFFFFF"/>
        <w:wordWrap w:val="0"/>
        <w:spacing w:line="560"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第六章</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法律责任</w:t>
      </w:r>
    </w:p>
    <w:p w14:paraId="65533F0E"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第三十九条</w:t>
      </w:r>
      <w:r w:rsidRPr="00D8484C">
        <w:rPr>
          <w:rFonts w:ascii="Calibri" w:eastAsia="黑体" w:hAnsi="Calibri" w:cs="Calibri"/>
          <w:color w:val="000000"/>
          <w:kern w:val="0"/>
          <w:sz w:val="32"/>
          <w:szCs w:val="32"/>
        </w:rPr>
        <w:t> </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违反本条例规定，法律、行政法规已有法律责任规定的，从其规定。</w:t>
      </w:r>
    </w:p>
    <w:p w14:paraId="45A6DB78"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第四十条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国家机关及其工作人员违反本条例规定，造成人畜共患传染病传播、流行的，由县级以上地方人民政府及其有关部门对责任单位责令改正、通</w:t>
      </w:r>
      <w:r w:rsidRPr="00D8484C">
        <w:rPr>
          <w:rFonts w:ascii="宋体" w:eastAsia="宋体" w:hAnsi="宋体" w:cs="宋体" w:hint="eastAsia"/>
          <w:color w:val="000000"/>
          <w:kern w:val="0"/>
          <w:sz w:val="24"/>
          <w:szCs w:val="24"/>
        </w:rPr>
        <w:lastRenderedPageBreak/>
        <w:t>报批评、给予警告；对直接负责的主管人员和其他直接责任人员，依法从重给予处分；构成犯罪的，依法追究刑事责任。</w:t>
      </w:r>
    </w:p>
    <w:p w14:paraId="2D3E6D33"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第四十一条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spacing w:val="-6"/>
          <w:kern w:val="0"/>
          <w:sz w:val="24"/>
          <w:szCs w:val="24"/>
        </w:rPr>
        <w:t>违反本条例第十一条规定，养殖场（户）、动物诊疗机构等使用者转手销售国家强制免疫用生物制品的，按照无证经营处理。</w:t>
      </w:r>
    </w:p>
    <w:p w14:paraId="4EF018DD"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000000"/>
          <w:spacing w:val="-6"/>
          <w:kern w:val="0"/>
          <w:sz w:val="24"/>
          <w:szCs w:val="24"/>
        </w:rPr>
      </w:pPr>
      <w:r w:rsidRPr="00D8484C">
        <w:rPr>
          <w:rFonts w:ascii="宋体" w:eastAsia="宋体" w:hAnsi="宋体" w:cs="宋体" w:hint="eastAsia"/>
          <w:color w:val="000000"/>
          <w:kern w:val="0"/>
          <w:sz w:val="24"/>
          <w:szCs w:val="24"/>
        </w:rPr>
        <w:t>第四十二条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违反本条例第十四条规定，种用、乳用动物养殖场未按照要求开展重点动物疫病净化工作的，由县级以上地方人民政府动物防疫主管部门责令改正，处六千元以上三万元以下罚款；情节严重的，责令停业整顿，并处三万元以上十万元以下罚</w:t>
      </w:r>
      <w:r w:rsidRPr="00D8484C">
        <w:rPr>
          <w:rFonts w:ascii="宋体" w:eastAsia="宋体" w:hAnsi="宋体" w:cs="宋体" w:hint="eastAsia"/>
          <w:color w:val="000000"/>
          <w:spacing w:val="-6"/>
          <w:kern w:val="0"/>
          <w:sz w:val="24"/>
          <w:szCs w:val="24"/>
        </w:rPr>
        <w:t>款；构成犯罪的，依法追究刑事责任。</w:t>
      </w:r>
    </w:p>
    <w:p w14:paraId="6BF6C03B"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spacing w:val="-6"/>
          <w:kern w:val="0"/>
          <w:sz w:val="24"/>
          <w:szCs w:val="24"/>
        </w:rPr>
        <w:t>第四十三条  违反本条例第十六条规定，活畜禽交易场所(交易点)未执行清洗、消毒、休市制度的，由县级以上地方人民政府动物防疫主管部门责令限期改正，逾期未改正的，处二千元以上一万元以下罚款；情节严重的，</w:t>
      </w:r>
      <w:r w:rsidRPr="00D8484C">
        <w:rPr>
          <w:rFonts w:ascii="宋体" w:eastAsia="宋体" w:hAnsi="宋体" w:cs="宋体" w:hint="eastAsia"/>
          <w:color w:val="000000"/>
          <w:kern w:val="0"/>
          <w:sz w:val="24"/>
          <w:szCs w:val="24"/>
        </w:rPr>
        <w:t>责令停业整顿，并处一万元以上五万元以</w:t>
      </w:r>
      <w:r w:rsidRPr="00D8484C">
        <w:rPr>
          <w:rFonts w:ascii="宋体" w:eastAsia="宋体" w:hAnsi="宋体" w:cs="宋体" w:hint="eastAsia"/>
          <w:color w:val="000000"/>
          <w:spacing w:val="-6"/>
          <w:kern w:val="0"/>
          <w:sz w:val="24"/>
          <w:szCs w:val="24"/>
        </w:rPr>
        <w:t>下罚款。</w:t>
      </w:r>
    </w:p>
    <w:p w14:paraId="7439917D"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第四十四条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违反本条例第二十一条规定，单位和个人随意弃养犬只，造成动物疫病传播的，由县级以上地方人民政府动物防疫主管部门处二千元以上一万元以下罚款；未及时清除犬只排泄的粪便的，由县级以上地方人民政府市容环境卫生行政主管部门或者其委托的单位责令改正，拒不改正的，处一百元以上五百元以下罚款。</w:t>
      </w:r>
    </w:p>
    <w:p w14:paraId="5F8F6491"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第四十五条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违反本条例第二十三条规定，不按照动物检疫合格证明填写的目的地运输，或者中途销售、更换的，由县级以上地方人民政府动物防疫主管部门责令改正，处六千元以上三万元以下罚款；情节严重的，责令停业整顿，并处三万元以上十万元以下罚款。</w:t>
      </w:r>
    </w:p>
    <w:p w14:paraId="1B11E7C5"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第四十六条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违反本条例第二十四条规定，跨省调入畜禽和畜禽产品未在规定时间内进行登记，或者调入畜禽用于饲养未向调入地承担动物卫生监督</w:t>
      </w:r>
      <w:r w:rsidRPr="00D8484C">
        <w:rPr>
          <w:rFonts w:ascii="宋体" w:eastAsia="宋体" w:hAnsi="宋体" w:cs="宋体" w:hint="eastAsia"/>
          <w:color w:val="000000"/>
          <w:kern w:val="0"/>
          <w:sz w:val="24"/>
          <w:szCs w:val="24"/>
        </w:rPr>
        <w:lastRenderedPageBreak/>
        <w:t>职责的机构报告的，由县级以上地方人民政府动物防疫主管部门给予警告，处五千元以上一万元以下罚款；情节严重的，处一万元以上五万元以下罚款。</w:t>
      </w:r>
    </w:p>
    <w:p w14:paraId="18F522EC"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违反本条例第二十四条规定，在重大动物疫病防控应急期间，</w:t>
      </w:r>
      <w:r w:rsidRPr="00D8484C">
        <w:rPr>
          <w:rFonts w:ascii="宋体" w:eastAsia="宋体" w:hAnsi="宋体" w:cs="宋体" w:hint="eastAsia"/>
          <w:color w:val="000000"/>
          <w:spacing w:val="-6"/>
          <w:kern w:val="0"/>
          <w:sz w:val="24"/>
          <w:szCs w:val="24"/>
        </w:rPr>
        <w:t>跨</w:t>
      </w:r>
      <w:r w:rsidRPr="00D8484C">
        <w:rPr>
          <w:rFonts w:ascii="宋体" w:eastAsia="宋体" w:hAnsi="宋体" w:cs="宋体" w:hint="eastAsia"/>
          <w:color w:val="000000"/>
          <w:kern w:val="0"/>
          <w:sz w:val="24"/>
          <w:szCs w:val="24"/>
        </w:rPr>
        <w:t>县（市、区）调入相关动物和动物产品未在规定时间内进行登记，或者调入相关动物用于饲养未向调入地承担动物卫生监督监督职责的机构报告的，由县级以上地方</w:t>
      </w:r>
      <w:r w:rsidRPr="00D8484C">
        <w:rPr>
          <w:rFonts w:ascii="宋体" w:eastAsia="宋体" w:hAnsi="宋体" w:cs="宋体" w:hint="eastAsia"/>
          <w:color w:val="000000"/>
          <w:spacing w:val="-6"/>
          <w:kern w:val="0"/>
          <w:sz w:val="24"/>
          <w:szCs w:val="24"/>
        </w:rPr>
        <w:t>人民政府动物防疫主管部门对调入的动物和动物产品进行隔离、封存和处理，无隔离、封存条件的，进行无害化处理，可以处六千元以上三万元以下罚款；情节严重的，处三万元以上十万元以下罚款。</w:t>
      </w:r>
    </w:p>
    <w:p w14:paraId="0F496D9C"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第四十七条</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违反本条例第二十八条规定，未提供动物检疫申报点专用场所，或者未配置与屠宰规模相适应的设施设备的，由县级以上地方人民政府动物防疫主管部门责令改正；拒不改正或者整改后仍不合格的，责令停业整顿。</w:t>
      </w:r>
    </w:p>
    <w:p w14:paraId="0EFEC427"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违反本条例第二十八条规定，未回收畜禽标识并交承担动物卫生监督职责的机构处置的，由县级以上地方人民政府动物防疫主管部门责令改正，可以处五百元以上二千元以下罚款。</w:t>
      </w:r>
    </w:p>
    <w:p w14:paraId="5EB7D4C6" w14:textId="77777777" w:rsidR="00D8484C" w:rsidRPr="00D8484C" w:rsidRDefault="00D8484C" w:rsidP="00D8484C">
      <w:pPr>
        <w:widowControl/>
        <w:shd w:val="clear" w:color="auto" w:fill="FFFFFF"/>
        <w:wordWrap w:val="0"/>
        <w:spacing w:line="560" w:lineRule="atLeast"/>
        <w:ind w:firstLine="616"/>
        <w:textAlignment w:val="top"/>
        <w:rPr>
          <w:rFonts w:ascii="宋体" w:eastAsia="宋体" w:hAnsi="宋体" w:cs="宋体"/>
          <w:color w:val="333333"/>
          <w:kern w:val="0"/>
          <w:sz w:val="24"/>
          <w:szCs w:val="24"/>
        </w:rPr>
      </w:pPr>
      <w:r w:rsidRPr="00D8484C">
        <w:rPr>
          <w:rFonts w:ascii="宋体" w:eastAsia="宋体" w:hAnsi="宋体" w:cs="宋体" w:hint="eastAsia"/>
          <w:color w:val="000000"/>
          <w:spacing w:val="-6"/>
          <w:kern w:val="0"/>
          <w:sz w:val="24"/>
          <w:szCs w:val="24"/>
        </w:rPr>
        <w:t>违反本条例第二十八条规定，未每日对屠宰车间和待宰栏进行清洗、消毒的，由县级以上地方人民政府动物防疫主管部门责令限期改正，逾期不改正的，处一千元以上五千元以下罚款。</w:t>
      </w:r>
    </w:p>
    <w:p w14:paraId="4D6A8A25"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违反本条例第二十八条规定，将厂（场、点）内待宰的动物外运出厂（场、点）的，由县级以上地方人民政府动物防疫主管部门责令改正，处二千元以上一万元以下罚款；情节严重的，处一万元以上三万元以下罚款。</w:t>
      </w:r>
    </w:p>
    <w:p w14:paraId="0B427B98"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第四十八条</w:t>
      </w:r>
      <w:r w:rsidRPr="00D8484C">
        <w:rPr>
          <w:rFonts w:ascii="仿宋_GB2312" w:eastAsia="仿宋_GB2312" w:hAnsi="宋体" w:cs="宋体" w:hint="eastAsia"/>
          <w:color w:val="333333"/>
          <w:kern w:val="0"/>
          <w:sz w:val="32"/>
          <w:szCs w:val="32"/>
        </w:rPr>
        <w:t>  </w:t>
      </w:r>
      <w:r w:rsidRPr="00D8484C">
        <w:rPr>
          <w:rFonts w:ascii="宋体" w:eastAsia="宋体" w:hAnsi="宋体" w:cs="宋体" w:hint="eastAsia"/>
          <w:color w:val="000000"/>
          <w:kern w:val="0"/>
          <w:sz w:val="24"/>
          <w:szCs w:val="24"/>
        </w:rPr>
        <w:t>违反本条例第三十五条规定，兼营区域与动物诊疗区域未经过物理隔离、分别独立设置的，由县级以上地方人民政府动物防疫主管部门责令改正，给予警告；拒不改正或者整改后仍不合格的，处二千元以上一万元以下罚款。</w:t>
      </w:r>
    </w:p>
    <w:p w14:paraId="108C3B02" w14:textId="77777777" w:rsidR="00D8484C" w:rsidRPr="00D8484C" w:rsidRDefault="00D8484C" w:rsidP="00D8484C">
      <w:pPr>
        <w:widowControl/>
        <w:shd w:val="clear" w:color="auto" w:fill="FFFFFF"/>
        <w:wordWrap w:val="0"/>
        <w:spacing w:line="560" w:lineRule="atLeast"/>
        <w:ind w:firstLine="640"/>
        <w:rPr>
          <w:rFonts w:ascii="宋体" w:eastAsia="宋体" w:hAnsi="宋体" w:cs="宋体"/>
          <w:color w:val="333333"/>
          <w:kern w:val="0"/>
          <w:sz w:val="24"/>
          <w:szCs w:val="24"/>
        </w:rPr>
      </w:pPr>
      <w:r w:rsidRPr="00D8484C">
        <w:rPr>
          <w:rFonts w:ascii="宋体" w:eastAsia="宋体" w:hAnsi="宋体" w:cs="宋体" w:hint="eastAsia"/>
          <w:color w:val="333333"/>
          <w:kern w:val="0"/>
          <w:sz w:val="24"/>
          <w:szCs w:val="24"/>
        </w:rPr>
        <w:lastRenderedPageBreak/>
        <w:t>第四十九条</w:t>
      </w:r>
      <w:r w:rsidRPr="00D8484C">
        <w:rPr>
          <w:rFonts w:ascii="Calibri" w:eastAsia="黑体" w:hAnsi="Calibri" w:cs="Calibri"/>
          <w:color w:val="333333"/>
          <w:kern w:val="0"/>
          <w:sz w:val="32"/>
          <w:szCs w:val="32"/>
        </w:rPr>
        <w:t>  </w:t>
      </w:r>
      <w:r w:rsidRPr="00D8484C">
        <w:rPr>
          <w:rFonts w:ascii="宋体" w:eastAsia="宋体" w:hAnsi="宋体" w:cs="宋体" w:hint="eastAsia"/>
          <w:color w:val="000000"/>
          <w:kern w:val="0"/>
          <w:sz w:val="24"/>
          <w:szCs w:val="24"/>
        </w:rPr>
        <w:t>违反本条例第三十七条规定，动物诊疗机构从业人员从事动物诊疗活动时，未按照规定佩戴标牌的，由县级以上地方人民政府动物防疫主管部门责令改正，给予警告；拒不改正的，处二百元以上一千元以下罚款。</w:t>
      </w:r>
    </w:p>
    <w:p w14:paraId="6EC06576"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第五十条</w:t>
      </w:r>
      <w:r w:rsidRPr="00D8484C">
        <w:rPr>
          <w:rFonts w:ascii="Calibri" w:eastAsia="黑体" w:hAnsi="Calibri" w:cs="Calibri"/>
          <w:color w:val="000000"/>
          <w:kern w:val="0"/>
          <w:sz w:val="32"/>
          <w:szCs w:val="32"/>
        </w:rPr>
        <w:t> </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动物诊疗机构违反本条例第三十八条规定，聘用未取得执业兽医资格证书的人员从事动物诊疗活动，或者在动物诊疗场所从事动物交易、寄养活动的，由县级以上地方人民政府动物防疫主管部门责令改正，给予警告，处一万元以上五万元以下罚款；拒不改正的，处五万元以上十万元以下罚款。</w:t>
      </w:r>
    </w:p>
    <w:p w14:paraId="6601405F"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动物诊疗机构从业人员违反本条例第三十八条规定，未做诊疗记录的，由县级以上地方人民政府动物防疫主管部门给予警告，责令改正；拒不改正的，责令暂停六个月以上一年以下动物诊疗活动。</w:t>
      </w:r>
    </w:p>
    <w:p w14:paraId="590F7AEA" w14:textId="77777777" w:rsidR="00D8484C" w:rsidRPr="00D8484C" w:rsidRDefault="00D8484C" w:rsidP="00D8484C">
      <w:pPr>
        <w:widowControl/>
        <w:shd w:val="clear" w:color="auto" w:fill="FFFFFF"/>
        <w:wordWrap w:val="0"/>
        <w:spacing w:line="560" w:lineRule="atLeast"/>
        <w:jc w:val="center"/>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第七章</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附</w:t>
      </w:r>
      <w:r w:rsidRPr="00D8484C">
        <w:rPr>
          <w:rFonts w:ascii="Calibri" w:eastAsia="黑体" w:hAnsi="Calibri" w:cs="Calibri"/>
          <w:color w:val="000000"/>
          <w:kern w:val="0"/>
          <w:sz w:val="32"/>
          <w:szCs w:val="32"/>
        </w:rPr>
        <w:t>    </w:t>
      </w:r>
      <w:r w:rsidRPr="00D8484C">
        <w:rPr>
          <w:rFonts w:ascii="宋体" w:eastAsia="宋体" w:hAnsi="宋体" w:cs="宋体" w:hint="eastAsia"/>
          <w:color w:val="000000"/>
          <w:kern w:val="0"/>
          <w:sz w:val="24"/>
          <w:szCs w:val="24"/>
        </w:rPr>
        <w:t>则</w:t>
      </w:r>
    </w:p>
    <w:p w14:paraId="41EB4D42" w14:textId="77777777" w:rsidR="00D8484C" w:rsidRPr="00D8484C" w:rsidRDefault="00D8484C" w:rsidP="00D8484C">
      <w:pPr>
        <w:widowControl/>
        <w:shd w:val="clear" w:color="auto" w:fill="FFFFFF"/>
        <w:wordWrap w:val="0"/>
        <w:spacing w:line="560" w:lineRule="atLeast"/>
        <w:ind w:firstLine="640"/>
        <w:textAlignment w:val="top"/>
        <w:rPr>
          <w:rFonts w:ascii="宋体" w:eastAsia="宋体" w:hAnsi="宋体" w:cs="宋体"/>
          <w:color w:val="333333"/>
          <w:kern w:val="0"/>
          <w:sz w:val="24"/>
          <w:szCs w:val="24"/>
        </w:rPr>
      </w:pPr>
      <w:r w:rsidRPr="00D8484C">
        <w:rPr>
          <w:rFonts w:ascii="宋体" w:eastAsia="宋体" w:hAnsi="宋体" w:cs="宋体" w:hint="eastAsia"/>
          <w:color w:val="000000"/>
          <w:kern w:val="0"/>
          <w:sz w:val="24"/>
          <w:szCs w:val="24"/>
        </w:rPr>
        <w:t>第五十一条</w:t>
      </w:r>
      <w:r w:rsidRPr="00D8484C">
        <w:rPr>
          <w:rFonts w:ascii="仿宋_GB2312" w:eastAsia="仿宋_GB2312" w:hAnsi="宋体" w:cs="宋体" w:hint="eastAsia"/>
          <w:color w:val="000000"/>
          <w:kern w:val="0"/>
          <w:sz w:val="32"/>
          <w:szCs w:val="32"/>
        </w:rPr>
        <w:t>  </w:t>
      </w:r>
      <w:r w:rsidRPr="00D8484C">
        <w:rPr>
          <w:rFonts w:ascii="宋体" w:eastAsia="宋体" w:hAnsi="宋体" w:cs="宋体" w:hint="eastAsia"/>
          <w:color w:val="000000"/>
          <w:kern w:val="0"/>
          <w:sz w:val="24"/>
          <w:szCs w:val="24"/>
        </w:rPr>
        <w:t>本条例自</w:t>
      </w:r>
      <w:r w:rsidRPr="00D8484C">
        <w:rPr>
          <w:rFonts w:ascii="仿宋_GB2312" w:eastAsia="仿宋_GB2312" w:hAnsi="宋体" w:cs="宋体" w:hint="eastAsia"/>
          <w:color w:val="000000"/>
          <w:kern w:val="0"/>
          <w:sz w:val="32"/>
          <w:szCs w:val="32"/>
        </w:rPr>
        <w:t>2022</w:t>
      </w:r>
      <w:r w:rsidRPr="00D8484C">
        <w:rPr>
          <w:rFonts w:ascii="宋体" w:eastAsia="宋体" w:hAnsi="宋体" w:cs="宋体" w:hint="eastAsia"/>
          <w:color w:val="000000"/>
          <w:kern w:val="0"/>
          <w:sz w:val="24"/>
          <w:szCs w:val="24"/>
        </w:rPr>
        <w:t>年</w:t>
      </w:r>
      <w:r w:rsidRPr="00D8484C">
        <w:rPr>
          <w:rFonts w:ascii="仿宋_GB2312" w:eastAsia="仿宋_GB2312" w:hAnsi="宋体" w:cs="宋体" w:hint="eastAsia"/>
          <w:color w:val="000000"/>
          <w:kern w:val="0"/>
          <w:sz w:val="32"/>
          <w:szCs w:val="32"/>
        </w:rPr>
        <w:t>10</w:t>
      </w:r>
      <w:r w:rsidRPr="00D8484C">
        <w:rPr>
          <w:rFonts w:ascii="宋体" w:eastAsia="宋体" w:hAnsi="宋体" w:cs="宋体" w:hint="eastAsia"/>
          <w:color w:val="000000"/>
          <w:kern w:val="0"/>
          <w:sz w:val="24"/>
          <w:szCs w:val="24"/>
        </w:rPr>
        <w:t>月</w:t>
      </w:r>
      <w:r w:rsidRPr="00D8484C">
        <w:rPr>
          <w:rFonts w:ascii="仿宋_GB2312" w:eastAsia="仿宋_GB2312" w:hAnsi="宋体" w:cs="宋体" w:hint="eastAsia"/>
          <w:color w:val="000000"/>
          <w:kern w:val="0"/>
          <w:sz w:val="32"/>
          <w:szCs w:val="32"/>
        </w:rPr>
        <w:t>1</w:t>
      </w:r>
      <w:r w:rsidRPr="00D8484C">
        <w:rPr>
          <w:rFonts w:ascii="宋体" w:eastAsia="宋体" w:hAnsi="宋体" w:cs="宋体" w:hint="eastAsia"/>
          <w:color w:val="000000"/>
          <w:kern w:val="0"/>
          <w:sz w:val="24"/>
          <w:szCs w:val="24"/>
        </w:rPr>
        <w:t>日起施行。</w:t>
      </w:r>
    </w:p>
    <w:p w14:paraId="1287229C" w14:textId="77777777" w:rsidR="00467FEB" w:rsidRPr="00D8484C" w:rsidRDefault="00467FEB"/>
    <w:sectPr w:rsidR="00467FEB" w:rsidRPr="00D848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3592" w14:textId="77777777" w:rsidR="00141CB1" w:rsidRDefault="00141CB1" w:rsidP="00D8484C">
      <w:r>
        <w:separator/>
      </w:r>
    </w:p>
  </w:endnote>
  <w:endnote w:type="continuationSeparator" w:id="0">
    <w:p w14:paraId="65864690" w14:textId="77777777" w:rsidR="00141CB1" w:rsidRDefault="00141CB1" w:rsidP="00D8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楷体_GBK">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书宋_GBK">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F2BB" w14:textId="77777777" w:rsidR="00141CB1" w:rsidRDefault="00141CB1" w:rsidP="00D8484C">
      <w:r>
        <w:separator/>
      </w:r>
    </w:p>
  </w:footnote>
  <w:footnote w:type="continuationSeparator" w:id="0">
    <w:p w14:paraId="3EBAC700" w14:textId="77777777" w:rsidR="00141CB1" w:rsidRDefault="00141CB1" w:rsidP="00D84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EB"/>
    <w:rsid w:val="00141CB1"/>
    <w:rsid w:val="0018481F"/>
    <w:rsid w:val="00267E06"/>
    <w:rsid w:val="00467FEB"/>
    <w:rsid w:val="00A8370B"/>
    <w:rsid w:val="00D8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90ABE"/>
  <w15:chartTrackingRefBased/>
  <w15:docId w15:val="{A4D713ED-ED53-4B53-B8D8-7511A0CB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848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8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484C"/>
    <w:rPr>
      <w:sz w:val="18"/>
      <w:szCs w:val="18"/>
    </w:rPr>
  </w:style>
  <w:style w:type="paragraph" w:styleId="a5">
    <w:name w:val="footer"/>
    <w:basedOn w:val="a"/>
    <w:link w:val="a6"/>
    <w:uiPriority w:val="99"/>
    <w:unhideWhenUsed/>
    <w:rsid w:val="00D8484C"/>
    <w:pPr>
      <w:tabs>
        <w:tab w:val="center" w:pos="4153"/>
        <w:tab w:val="right" w:pos="8306"/>
      </w:tabs>
      <w:snapToGrid w:val="0"/>
      <w:jc w:val="left"/>
    </w:pPr>
    <w:rPr>
      <w:sz w:val="18"/>
      <w:szCs w:val="18"/>
    </w:rPr>
  </w:style>
  <w:style w:type="character" w:customStyle="1" w:styleId="a6">
    <w:name w:val="页脚 字符"/>
    <w:basedOn w:val="a0"/>
    <w:link w:val="a5"/>
    <w:uiPriority w:val="99"/>
    <w:rsid w:val="00D8484C"/>
    <w:rPr>
      <w:sz w:val="18"/>
      <w:szCs w:val="18"/>
    </w:rPr>
  </w:style>
  <w:style w:type="character" w:customStyle="1" w:styleId="10">
    <w:name w:val="标题 1 字符"/>
    <w:basedOn w:val="a0"/>
    <w:link w:val="1"/>
    <w:uiPriority w:val="9"/>
    <w:rsid w:val="00D8484C"/>
    <w:rPr>
      <w:rFonts w:ascii="宋体" w:eastAsia="宋体" w:hAnsi="宋体" w:cs="宋体"/>
      <w:b/>
      <w:bCs/>
      <w:kern w:val="36"/>
      <w:sz w:val="48"/>
      <w:szCs w:val="48"/>
    </w:rPr>
  </w:style>
  <w:style w:type="character" w:customStyle="1" w:styleId="b-free-read-leaf">
    <w:name w:val="b-free-read-leaf"/>
    <w:basedOn w:val="a0"/>
    <w:rsid w:val="00D8484C"/>
  </w:style>
  <w:style w:type="paragraph" w:customStyle="1" w:styleId="15">
    <w:name w:val="15"/>
    <w:basedOn w:val="a"/>
    <w:rsid w:val="00D8484C"/>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D848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5933">
      <w:bodyDiv w:val="1"/>
      <w:marLeft w:val="0"/>
      <w:marRight w:val="0"/>
      <w:marTop w:val="0"/>
      <w:marBottom w:val="0"/>
      <w:divBdr>
        <w:top w:val="none" w:sz="0" w:space="0" w:color="auto"/>
        <w:left w:val="none" w:sz="0" w:space="0" w:color="auto"/>
        <w:bottom w:val="none" w:sz="0" w:space="0" w:color="auto"/>
        <w:right w:val="none" w:sz="0" w:space="0" w:color="auto"/>
      </w:divBdr>
      <w:divsChild>
        <w:div w:id="1593784435">
          <w:marLeft w:val="0"/>
          <w:marRight w:val="0"/>
          <w:marTop w:val="900"/>
          <w:marBottom w:val="0"/>
          <w:divBdr>
            <w:top w:val="none" w:sz="0" w:space="0" w:color="auto"/>
            <w:left w:val="none" w:sz="0" w:space="0" w:color="auto"/>
            <w:bottom w:val="single" w:sz="6" w:space="8" w:color="EFEFEF"/>
            <w:right w:val="none" w:sz="0" w:space="0" w:color="auto"/>
          </w:divBdr>
          <w:divsChild>
            <w:div w:id="1193424537">
              <w:marLeft w:val="0"/>
              <w:marRight w:val="0"/>
              <w:marTop w:val="0"/>
              <w:marBottom w:val="0"/>
              <w:divBdr>
                <w:top w:val="none" w:sz="0" w:space="0" w:color="auto"/>
                <w:left w:val="none" w:sz="0" w:space="0" w:color="auto"/>
                <w:bottom w:val="none" w:sz="0" w:space="0" w:color="auto"/>
                <w:right w:val="none" w:sz="0" w:space="0" w:color="auto"/>
              </w:divBdr>
            </w:div>
            <w:div w:id="714046899">
              <w:marLeft w:val="0"/>
              <w:marRight w:val="0"/>
              <w:marTop w:val="0"/>
              <w:marBottom w:val="0"/>
              <w:divBdr>
                <w:top w:val="none" w:sz="0" w:space="0" w:color="auto"/>
                <w:left w:val="none" w:sz="0" w:space="0" w:color="auto"/>
                <w:bottom w:val="none" w:sz="0" w:space="0" w:color="auto"/>
                <w:right w:val="none" w:sz="0" w:space="0" w:color="auto"/>
              </w:divBdr>
            </w:div>
          </w:divsChild>
        </w:div>
        <w:div w:id="2116048059">
          <w:marLeft w:val="0"/>
          <w:marRight w:val="0"/>
          <w:marTop w:val="0"/>
          <w:marBottom w:val="0"/>
          <w:divBdr>
            <w:top w:val="none" w:sz="0" w:space="0" w:color="auto"/>
            <w:left w:val="none" w:sz="0" w:space="0" w:color="auto"/>
            <w:bottom w:val="none" w:sz="0" w:space="0" w:color="auto"/>
            <w:right w:val="none" w:sz="0" w:space="0" w:color="auto"/>
          </w:divBdr>
          <w:divsChild>
            <w:div w:id="10153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淘 明</dc:creator>
  <cp:keywords/>
  <dc:description/>
  <cp:lastModifiedBy>淘 明</cp:lastModifiedBy>
  <cp:revision>4</cp:revision>
  <dcterms:created xsi:type="dcterms:W3CDTF">2022-09-01T07:44:00Z</dcterms:created>
  <dcterms:modified xsi:type="dcterms:W3CDTF">2022-09-08T01:55:00Z</dcterms:modified>
</cp:coreProperties>
</file>