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热泵果蔬烘干机补贴申请录入办理服务系统操作手册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为指导、规范各级农机化主管部门</w:t>
      </w:r>
      <w:r>
        <w:rPr>
          <w:rFonts w:hint="eastAsia" w:ascii="仿宋_GB2312" w:eastAsia="仿宋_GB2312"/>
          <w:sz w:val="32"/>
          <w:szCs w:val="32"/>
        </w:rPr>
        <w:t>在福建省农机购置补贴申请办理服务系统(2021-2023)（以下简称“办理服务系统”）中</w:t>
      </w:r>
      <w:r>
        <w:rPr>
          <w:rFonts w:ascii="仿宋_GB2312" w:eastAsia="仿宋_GB2312"/>
          <w:sz w:val="32"/>
          <w:szCs w:val="32"/>
        </w:rPr>
        <w:t>录入热泵果蔬烘干机（整体脱水，具备烘干功能）、热泵果蔬烘干机（整体脱水,具备烘干和制冷功能）补贴申请，特制定本手册。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一、办理服务系统</w:t>
      </w:r>
      <w:r>
        <w:rPr>
          <w:rFonts w:ascii="黑体" w:eastAsia="黑体"/>
          <w:sz w:val="32"/>
          <w:szCs w:val="32"/>
        </w:rPr>
        <w:t>中相关设置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因热泵果蔬烘干机（整体脱水，具备烘干功能）、热泵果蔬烘干机（整体脱水,具备烘干和制冷功能）2个档次的补贴额按照</w:t>
      </w:r>
      <w:r>
        <w:rPr>
          <w:rFonts w:hint="eastAsia" w:ascii="仿宋_GB2312" w:eastAsia="仿宋_GB2312"/>
          <w:sz w:val="32"/>
          <w:szCs w:val="32"/>
        </w:rPr>
        <w:t>热泵压缩机额定功率与烘干室容积补贴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，由省农业农村厅农机化处将</w:t>
      </w:r>
      <w:r>
        <w:rPr>
          <w:rFonts w:hint="eastAsia" w:ascii="仿宋_GB2312" w:eastAsia="仿宋_GB2312"/>
          <w:sz w:val="32"/>
          <w:szCs w:val="32"/>
        </w:rPr>
        <w:t>办理服务系统</w:t>
      </w:r>
      <w:r>
        <w:rPr>
          <w:rFonts w:ascii="仿宋_GB2312" w:eastAsia="仿宋_GB2312"/>
          <w:sz w:val="32"/>
          <w:szCs w:val="32"/>
        </w:rPr>
        <w:t>中热泵果蔬烘干机（整体脱水，具备烘干功能）、热泵果蔬烘干机（整体脱水,具备烘干和制冷功能）2个档次的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ascii="仿宋_GB2312" w:eastAsia="仿宋_GB2312"/>
          <w:sz w:val="32"/>
          <w:szCs w:val="32"/>
        </w:rPr>
        <w:t>补贴额设置为1元。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办理服务系统</w:t>
      </w:r>
      <w:r>
        <w:rPr>
          <w:rFonts w:ascii="黑体" w:eastAsia="黑体"/>
          <w:sz w:val="32"/>
          <w:szCs w:val="32"/>
        </w:rPr>
        <w:t>中录入申请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Arial"/>
          <w:bCs/>
          <w:color w:val="000000"/>
          <w:sz w:val="32"/>
          <w:szCs w:val="32"/>
        </w:rPr>
        <w:t>县级农机化主管部门</w:t>
      </w:r>
      <w:r>
        <w:rPr>
          <w:rFonts w:ascii="仿宋_GB2312" w:eastAsia="仿宋_GB2312"/>
          <w:sz w:val="32"/>
          <w:szCs w:val="32"/>
        </w:rPr>
        <w:t>核实验收完热泵果蔬烘干机后，填写热泵果蔬烘干机补贴金额计算表（详见附表），录入</w:t>
      </w:r>
      <w:r>
        <w:rPr>
          <w:rFonts w:hint="eastAsia" w:ascii="仿宋_GB2312" w:eastAsia="仿宋_GB2312"/>
          <w:sz w:val="32"/>
          <w:szCs w:val="32"/>
        </w:rPr>
        <w:t>办理服务系统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2" w:firstLineChars="200"/>
        <w:rPr>
          <w:rFonts w:ascii="仿宋_GB2312" w:eastAsia="仿宋_GB2312" w:cs="Arial"/>
          <w:bCs/>
          <w:color w:val="000000"/>
          <w:sz w:val="32"/>
          <w:szCs w:val="32"/>
        </w:rPr>
      </w:pPr>
      <w:r>
        <w:rPr>
          <w:rFonts w:ascii="仿宋_GB2312" w:eastAsia="仿宋_GB2312" w:cs="Arial"/>
          <w:b/>
          <w:bCs/>
          <w:color w:val="000000"/>
          <w:sz w:val="32"/>
          <w:szCs w:val="32"/>
        </w:rPr>
        <w:t>第一步（购机者信息填写）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与其它机具一样录入。</w:t>
      </w:r>
      <w:r>
        <w:rPr>
          <w:rFonts w:ascii="仿宋_GB2312" w:eastAsia="仿宋_GB2312" w:cs="Arial"/>
          <w:b/>
          <w:bCs/>
          <w:color w:val="000000"/>
          <w:sz w:val="32"/>
          <w:szCs w:val="32"/>
        </w:rPr>
        <w:t>第二步（补贴机具信息填写）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主要不同内容见下图，其它内容与其它机具一样。</w:t>
      </w:r>
      <w:r>
        <w:rPr>
          <w:rFonts w:ascii="仿宋_GB2312" w:eastAsia="仿宋_GB2312" w:cs="Arial"/>
          <w:b/>
          <w:bCs/>
          <w:color w:val="000000"/>
          <w:sz w:val="32"/>
          <w:szCs w:val="32"/>
        </w:rPr>
        <w:t>后续的补贴申请审核、结算等操作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与其它机具一样。</w:t>
      </w:r>
    </w:p>
    <w:p>
      <w:pPr>
        <w:ind w:left="0"/>
        <w:jc w:val="center"/>
        <w:rPr>
          <w:rFonts w:ascii="仿宋_GB2312" w:eastAsia="仿宋_GB2312" w:cs="Arial"/>
          <w:bCs/>
          <w:color w:val="000000"/>
          <w:sz w:val="32"/>
          <w:szCs w:val="32"/>
        </w:rPr>
      </w:pPr>
      <w:r>
        <w:rPr>
          <w:rFonts w:ascii="仿宋_GB2312" w:eastAsia="仿宋_GB2312" w:cs="Arial"/>
          <w:bCs/>
          <w:color w:val="000000"/>
          <w:sz w:val="32"/>
          <w:szCs w:val="32"/>
        </w:rPr>
        <w:drawing>
          <wp:inline distT="0" distB="0" distL="85090" distR="85090">
            <wp:extent cx="8209915" cy="4777740"/>
            <wp:effectExtent l="0" t="0" r="635" b="381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09915" cy="47777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仿宋_GB2312" w:eastAsia="仿宋_GB2312" w:cs="Arial"/>
          <w:bCs/>
          <w:color w:val="000000"/>
          <w:sz w:val="32"/>
          <w:szCs w:val="32"/>
        </w:rPr>
        <w:sectPr>
          <w:footerReference r:id="rId3" w:type="default"/>
          <w:pgSz w:w="16839" w:h="11907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jc w:val="left"/>
        <w:rPr>
          <w:rFonts w:ascii="仿宋_GB2312" w:eastAsia="仿宋_GB2312" w:cs="Arial"/>
          <w:color w:val="000000"/>
          <w:szCs w:val="21"/>
        </w:rPr>
      </w:pPr>
      <w:r>
        <w:rPr>
          <w:rFonts w:hint="eastAsia" w:ascii="仿宋_GB2312" w:eastAsia="仿宋_GB2312" w:cs="Arial"/>
          <w:color w:val="000000"/>
          <w:szCs w:val="21"/>
        </w:rPr>
        <w:t>附</w:t>
      </w:r>
      <w:r>
        <w:rPr>
          <w:rFonts w:ascii="仿宋_GB2312" w:eastAsia="仿宋_GB2312" w:cs="Arial"/>
          <w:color w:val="000000"/>
          <w:szCs w:val="21"/>
        </w:rPr>
        <w:t>表</w:t>
      </w:r>
      <w:r>
        <w:rPr>
          <w:rFonts w:hint="eastAsia" w:ascii="仿宋_GB2312" w:eastAsia="仿宋_GB2312" w:cs="Arial"/>
          <w:color w:val="000000"/>
          <w:szCs w:val="21"/>
        </w:rPr>
        <w:t>：</w:t>
      </w:r>
    </w:p>
    <w:p>
      <w:pPr>
        <w:spacing w:line="400" w:lineRule="exact"/>
        <w:jc w:val="center"/>
        <w:rPr>
          <w:rFonts w:ascii="方正小标宋简体" w:eastAsia="方正小标宋简体" w:cs="Arial"/>
          <w:b/>
          <w:bCs/>
          <w:color w:val="000000"/>
          <w:sz w:val="28"/>
        </w:rPr>
      </w:pPr>
      <w:r>
        <w:rPr>
          <w:rFonts w:hint="eastAsia" w:ascii="方正小标宋简体" w:eastAsia="方正小标宋简体" w:cs="Arial"/>
          <w:b/>
          <w:bCs/>
          <w:color w:val="000000"/>
          <w:sz w:val="28"/>
        </w:rPr>
        <w:t>热泵果蔬烘干机补贴</w:t>
      </w:r>
      <w:r>
        <w:rPr>
          <w:rFonts w:ascii="方正小标宋简体" w:eastAsia="方正小标宋简体" w:cs="Arial"/>
          <w:b/>
          <w:bCs/>
          <w:color w:val="000000"/>
          <w:sz w:val="28"/>
        </w:rPr>
        <w:t>金额</w:t>
      </w:r>
      <w:r>
        <w:rPr>
          <w:rFonts w:hint="eastAsia" w:ascii="方正小标宋简体" w:eastAsia="方正小标宋简体" w:cs="Arial"/>
          <w:b/>
          <w:bCs/>
          <w:color w:val="000000"/>
          <w:sz w:val="28"/>
        </w:rPr>
        <w:t>计算表</w:t>
      </w:r>
    </w:p>
    <w:tbl>
      <w:tblPr>
        <w:tblStyle w:val="7"/>
        <w:tblW w:w="9725" w:type="dxa"/>
        <w:tblInd w:w="-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653"/>
        <w:gridCol w:w="2602"/>
        <w:gridCol w:w="180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购机者信息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姓名/组织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身份证号/组织机构代码证号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5" w:type="dxa"/>
            <w:vMerge w:val="continue"/>
            <w:vAlign w:val="center"/>
          </w:tcPr>
          <w:p/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乡镇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村组</w:t>
            </w:r>
          </w:p>
        </w:tc>
        <w:tc>
          <w:tcPr>
            <w:tcW w:w="2279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85" w:type="dxa"/>
            <w:vMerge w:val="continue"/>
            <w:vAlign w:val="center"/>
          </w:tcPr>
          <w:p/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身份证住址</w:t>
            </w:r>
          </w:p>
        </w:tc>
        <w:tc>
          <w:tcPr>
            <w:tcW w:w="6687" w:type="dxa"/>
            <w:gridSpan w:val="3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购买机具信息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档次名称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机具型号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385" w:type="dxa"/>
            <w:vMerge w:val="continue"/>
            <w:vAlign w:val="center"/>
          </w:tcPr>
          <w:p/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生产企业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经销商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补贴额测算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热泵压缩机额定功率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热泵压缩机</w:t>
            </w: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补贴金额</w:t>
            </w:r>
          </w:p>
        </w:tc>
        <w:tc>
          <w:tcPr>
            <w:tcW w:w="2279" w:type="dxa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5" w:type="dxa"/>
            <w:vMerge w:val="continue"/>
            <w:vAlign w:val="center"/>
          </w:tcPr>
          <w:p/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烘干室容积</w:t>
            </w:r>
          </w:p>
        </w:tc>
        <w:tc>
          <w:tcPr>
            <w:tcW w:w="2602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烘干室补贴金额</w:t>
            </w:r>
          </w:p>
        </w:tc>
        <w:tc>
          <w:tcPr>
            <w:tcW w:w="2279" w:type="dxa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5" w:type="dxa"/>
            <w:vMerge w:val="continue"/>
            <w:vAlign w:val="center"/>
          </w:tcPr>
          <w:p/>
        </w:tc>
        <w:tc>
          <w:tcPr>
            <w:tcW w:w="42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合计补贴金额</w:t>
            </w:r>
          </w:p>
        </w:tc>
        <w:tc>
          <w:tcPr>
            <w:tcW w:w="2279" w:type="dxa"/>
            <w:vAlign w:val="center"/>
          </w:tcPr>
          <w:p>
            <w:pPr>
              <w:jc w:val="left"/>
              <w:rPr>
                <w:rFonts w:hint="eastAsia"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725" w:type="dxa"/>
            <w:gridSpan w:val="5"/>
            <w:vAlign w:val="center"/>
          </w:tcPr>
          <w:p>
            <w:pPr>
              <w:rPr>
                <w:rFonts w:hint="eastAsia"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填表单位（盖章）：                      填表人：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72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28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日之后购置的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执行2023年7月25日印发《福建省农业农村厅关于发布《福建省2021-2023年中央财政资金农机购置补贴机具补贴额一览表（2023年第1次优化调整及新增后汇总）》等补贴额一览表的通告》（2023年7号）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534025" cy="6153150"/>
                  <wp:effectExtent l="0" t="0" r="9525" b="0"/>
                  <wp:docPr id="2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025" cy="615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2022年5月26日（含）—2023年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28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日（含）购置的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执行2022</w:t>
            </w:r>
            <w:r>
              <w:rPr>
                <w:rFonts w:hint="default"/>
                <w:lang w:val="en-US" w:eastAsia="zh-CN"/>
              </w:rPr>
              <w:t>年6月9日</w:t>
            </w:r>
            <w:r>
              <w:rPr>
                <w:rFonts w:hint="eastAsia"/>
                <w:lang w:val="en-US" w:eastAsia="zh-CN"/>
              </w:rPr>
              <w:t>印发《福建省农业农村厅关于发布福建省2021-2023年农机购置补贴机具补贴额一览表（2022年第二批）及部分补贴机具补贴额调整的通告》（2022年7号）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705475" cy="65151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651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2020年11月20日（含）—2022年5月25日（含）购置的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执行2021年9月5日印发《</w:t>
            </w:r>
            <w:r>
              <w:rPr>
                <w:rFonts w:hint="eastAsia"/>
              </w:rPr>
              <w:t>福建省农业农村厅关于发布福建省2021-2023年农机购置补贴机具补贴额一览表（第一批）的通告</w:t>
            </w:r>
            <w:r>
              <w:rPr>
                <w:rFonts w:hint="eastAsia"/>
                <w:lang w:eastAsia="zh-CN"/>
              </w:rPr>
              <w:t>》（2021年8号）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drawing>
                <wp:inline distT="0" distB="0" distL="114300" distR="114300">
                  <wp:extent cx="5686425" cy="6638925"/>
                  <wp:effectExtent l="0" t="0" r="9525" b="9525"/>
                  <wp:docPr id="3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663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eastAsia="仿宋_GB2312" w:cs="Arial"/>
          <w:bCs/>
          <w:color w:val="000000"/>
          <w:szCs w:val="21"/>
        </w:rPr>
      </w:pPr>
    </w:p>
    <w:sectPr>
      <w:pgSz w:w="11907" w:h="16840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V9rPK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F6E38C2"/>
    <w:rsid w:val="3EDD536C"/>
    <w:rsid w:val="56821891"/>
    <w:rsid w:val="6F67F8C1"/>
    <w:rsid w:val="7B89D0DA"/>
    <w:rsid w:val="7CDFA656"/>
    <w:rsid w:val="7CFE42EA"/>
    <w:rsid w:val="FFDFA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5</Pages>
  <Words>675</Words>
  <Characters>696</Characters>
  <Lines>63</Lines>
  <Paragraphs>32</Paragraphs>
  <TotalTime>0</TotalTime>
  <ScaleCrop>false</ScaleCrop>
  <LinksUpToDate>false</LinksUpToDate>
  <CharactersWithSpaces>733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2018-10-11T02:49:00Z</dcterms:created>
  <dc:creator>Microsoft</dc:creator>
  <cp:lastModifiedBy>徐庆锋</cp:lastModifiedBy>
  <cp:lastPrinted>2018-10-24T06:40:00Z</cp:lastPrinted>
  <dcterms:modified xsi:type="dcterms:W3CDTF">2023-07-28T09:59:27Z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BF90F00EF4044C9FB5BBB82659D83DC9</vt:lpwstr>
  </property>
</Properties>
</file>